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AA64" w14:textId="77777777" w:rsidR="00CB6B30" w:rsidRPr="00CB6B30" w:rsidRDefault="00CB6B30" w:rsidP="00CB6B30">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CB6B30">
        <w:rPr>
          <w:rFonts w:ascii="inherit" w:eastAsia="Times New Roman" w:hAnsi="inherit" w:cs="Helvetica"/>
          <w:b/>
          <w:bCs/>
          <w:color w:val="111111"/>
          <w:kern w:val="36"/>
          <w:sz w:val="36"/>
          <w:szCs w:val="36"/>
          <w:lang w:eastAsia="es-AR"/>
        </w:rPr>
        <w:t>ADMINISTRACIÓN FEDERAL DE INGRESOS PÚBLICOS</w:t>
      </w:r>
    </w:p>
    <w:p w14:paraId="2BDD9492" w14:textId="77777777" w:rsidR="00CB6B30" w:rsidRPr="00CB6B30" w:rsidRDefault="00CB6B30" w:rsidP="00CB6B30">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CB6B30">
        <w:rPr>
          <w:rFonts w:ascii="inherit" w:eastAsia="Times New Roman" w:hAnsi="inherit" w:cs="Helvetica"/>
          <w:b/>
          <w:bCs/>
          <w:color w:val="111111"/>
          <w:sz w:val="30"/>
          <w:szCs w:val="30"/>
          <w:lang w:eastAsia="es-AR"/>
        </w:rPr>
        <w:t>Resolución General 4690/2020</w:t>
      </w:r>
    </w:p>
    <w:p w14:paraId="6E998180" w14:textId="77777777" w:rsidR="00CB6B30" w:rsidRPr="00CB6B30" w:rsidRDefault="00CB6B30" w:rsidP="00CB6B30">
      <w:pPr>
        <w:shd w:val="clear" w:color="auto" w:fill="F9F9F9"/>
        <w:spacing w:before="225" w:line="240" w:lineRule="auto"/>
        <w:outlineLvl w:val="5"/>
        <w:rPr>
          <w:rFonts w:ascii="inherit" w:eastAsia="Times New Roman" w:hAnsi="inherit" w:cs="Helvetica"/>
          <w:b/>
          <w:bCs/>
          <w:color w:val="666666"/>
          <w:sz w:val="24"/>
          <w:szCs w:val="24"/>
          <w:lang w:eastAsia="es-AR"/>
        </w:rPr>
      </w:pPr>
      <w:r w:rsidRPr="00CB6B30">
        <w:rPr>
          <w:rFonts w:ascii="inherit" w:eastAsia="Times New Roman" w:hAnsi="inherit" w:cs="Helvetica"/>
          <w:b/>
          <w:bCs/>
          <w:color w:val="666666"/>
          <w:sz w:val="24"/>
          <w:szCs w:val="24"/>
          <w:lang w:eastAsia="es-AR"/>
        </w:rPr>
        <w:t xml:space="preserve">RESOG-2020-4690-E-AFIP-AFIP - Procedimiento. Ley </w:t>
      </w:r>
      <w:proofErr w:type="spellStart"/>
      <w:r w:rsidRPr="00CB6B30">
        <w:rPr>
          <w:rFonts w:ascii="inherit" w:eastAsia="Times New Roman" w:hAnsi="inherit" w:cs="Helvetica"/>
          <w:b/>
          <w:bCs/>
          <w:color w:val="666666"/>
          <w:sz w:val="24"/>
          <w:szCs w:val="24"/>
          <w:lang w:eastAsia="es-AR"/>
        </w:rPr>
        <w:t>N°</w:t>
      </w:r>
      <w:proofErr w:type="spellEnd"/>
      <w:r w:rsidRPr="00CB6B30">
        <w:rPr>
          <w:rFonts w:ascii="inherit" w:eastAsia="Times New Roman" w:hAnsi="inherit" w:cs="Helvetica"/>
          <w:b/>
          <w:bCs/>
          <w:color w:val="666666"/>
          <w:sz w:val="24"/>
          <w:szCs w:val="24"/>
          <w:lang w:eastAsia="es-AR"/>
        </w:rPr>
        <w:t> 27.541. Regularización de obligaciones tributarias, de la seguridad social y aduaneras para </w:t>
      </w:r>
      <w:proofErr w:type="spellStart"/>
      <w:r w:rsidRPr="00CB6B30">
        <w:rPr>
          <w:rFonts w:ascii="inherit" w:eastAsia="Times New Roman" w:hAnsi="inherit" w:cs="Helvetica"/>
          <w:b/>
          <w:bCs/>
          <w:color w:val="666666"/>
          <w:sz w:val="24"/>
          <w:szCs w:val="24"/>
          <w:lang w:eastAsia="es-AR"/>
        </w:rPr>
        <w:t>MiPyMES</w:t>
      </w:r>
      <w:proofErr w:type="spellEnd"/>
      <w:r w:rsidRPr="00CB6B30">
        <w:rPr>
          <w:rFonts w:ascii="inherit" w:eastAsia="Times New Roman" w:hAnsi="inherit" w:cs="Helvetica"/>
          <w:b/>
          <w:bCs/>
          <w:color w:val="666666"/>
          <w:sz w:val="24"/>
          <w:szCs w:val="24"/>
          <w:lang w:eastAsia="es-AR"/>
        </w:rPr>
        <w:t xml:space="preserve"> y entidades civiles sin fines de lucro. Resolución General </w:t>
      </w:r>
      <w:proofErr w:type="spellStart"/>
      <w:r w:rsidRPr="00CB6B30">
        <w:rPr>
          <w:rFonts w:ascii="inherit" w:eastAsia="Times New Roman" w:hAnsi="inherit" w:cs="Helvetica"/>
          <w:b/>
          <w:bCs/>
          <w:color w:val="666666"/>
          <w:sz w:val="24"/>
          <w:szCs w:val="24"/>
          <w:lang w:eastAsia="es-AR"/>
        </w:rPr>
        <w:t>N°</w:t>
      </w:r>
      <w:proofErr w:type="spellEnd"/>
      <w:r w:rsidRPr="00CB6B30">
        <w:rPr>
          <w:rFonts w:ascii="inherit" w:eastAsia="Times New Roman" w:hAnsi="inherit" w:cs="Helvetica"/>
          <w:b/>
          <w:bCs/>
          <w:color w:val="666666"/>
          <w:sz w:val="24"/>
          <w:szCs w:val="24"/>
          <w:lang w:eastAsia="es-AR"/>
        </w:rPr>
        <w:t> 4.667. Su modificación.</w:t>
      </w:r>
    </w:p>
    <w:p w14:paraId="1209EAE3"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Ciudad de Buenos Aires, 30/03/2020</w:t>
      </w:r>
    </w:p>
    <w:p w14:paraId="2184C2C9"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VISTO los Expedientes Electrónicos EX-2020- 00203552- -AFIP-DVCOAD#SDGCTI y EX-2020-00141282- -AFIP-DISERE#SDGREC, y</w:t>
      </w:r>
    </w:p>
    <w:p w14:paraId="7D3154F5"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CONSIDERANDO:</w:t>
      </w:r>
    </w:p>
    <w:p w14:paraId="68954731"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 xml:space="preserve">Que mediante el Título I de la Ley </w:t>
      </w:r>
      <w:proofErr w:type="spellStart"/>
      <w:r w:rsidRPr="00CB6B30">
        <w:rPr>
          <w:rFonts w:ascii="Helvetica" w:eastAsia="Times New Roman" w:hAnsi="Helvetica" w:cs="Helvetica"/>
          <w:color w:val="111111"/>
          <w:sz w:val="21"/>
          <w:szCs w:val="21"/>
          <w:lang w:eastAsia="es-AR"/>
        </w:rPr>
        <w:t>N°</w:t>
      </w:r>
      <w:proofErr w:type="spellEnd"/>
      <w:r w:rsidRPr="00CB6B30">
        <w:rPr>
          <w:rFonts w:ascii="Helvetica" w:eastAsia="Times New Roman" w:hAnsi="Helvetica" w:cs="Helvetica"/>
          <w:color w:val="111111"/>
          <w:sz w:val="21"/>
          <w:szCs w:val="21"/>
          <w:lang w:eastAsia="es-AR"/>
        </w:rPr>
        <w:t> 27.541 se declaró la emergencia pública en materia económica, financiera, fiscal, administrativa, previsional, tarifaria, energética, sanitaria y social.</w:t>
      </w:r>
    </w:p>
    <w:p w14:paraId="41D91D4F"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proofErr w:type="gramStart"/>
      <w:r w:rsidRPr="00CB6B30">
        <w:rPr>
          <w:rFonts w:ascii="Helvetica" w:eastAsia="Times New Roman" w:hAnsi="Helvetica" w:cs="Helvetica"/>
          <w:color w:val="111111"/>
          <w:sz w:val="21"/>
          <w:szCs w:val="21"/>
          <w:lang w:eastAsia="es-AR"/>
        </w:rPr>
        <w:t>Que</w:t>
      </w:r>
      <w:proofErr w:type="gramEnd"/>
      <w:r w:rsidRPr="00CB6B30">
        <w:rPr>
          <w:rFonts w:ascii="Helvetica" w:eastAsia="Times New Roman" w:hAnsi="Helvetica" w:cs="Helvetica"/>
          <w:color w:val="111111"/>
          <w:sz w:val="21"/>
          <w:szCs w:val="21"/>
          <w:lang w:eastAsia="es-AR"/>
        </w:rPr>
        <w:t xml:space="preserve"> en este sentido, el Capítulo I del Título IV de la mencionada ley dispuso un régimen de regularización de obligaciones tributarias, de los recursos de la seguridad social y aduaneras vencidas al 30 de noviembre de 2019, para aquellos contribuyentes que obtengan el “Certificado MiPyME” así como para las entidades civiles sin fines de lucro.</w:t>
      </w:r>
    </w:p>
    <w:p w14:paraId="414638DD"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Que asimismo estableció el beneficio de liberación de multas y demás sanciones que no se encuentren firmes ni abonadas, una quita de la deuda consolidada cuando el capital, las multas firmes e intereses no condonados se cancelen mediante el pago al contado, así como la eximición y/o condonación total de los intereses resarcitorios y/o punitorios que tengan como origen los aportes previsionales adeudados por los trabajadores autónomos y un porcentaje de los intereses adeudados por el resto de las obligaciones fiscales.</w:t>
      </w:r>
    </w:p>
    <w:p w14:paraId="3E0055F8"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Que el último párrafo de su artículo 8º previó que el acogimiento al aludido régimen pudiera formularse entre el primer mes calendario posterior al de la publicación de su reglamentación en el Boletín Oficial hasta el 30 de abril de 2020, inclusive.</w:t>
      </w:r>
    </w:p>
    <w:p w14:paraId="2DEEE336"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Que a través de su artículo 17 facultó a esta Administración Federal a dictar la normativa complementaria y aclaratoria necesaria, a fin de implementar dicho régimen.</w:t>
      </w:r>
    </w:p>
    <w:p w14:paraId="408F5979"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proofErr w:type="gramStart"/>
      <w:r w:rsidRPr="00CB6B30">
        <w:rPr>
          <w:rFonts w:ascii="Helvetica" w:eastAsia="Times New Roman" w:hAnsi="Helvetica" w:cs="Helvetica"/>
          <w:color w:val="111111"/>
          <w:sz w:val="21"/>
          <w:szCs w:val="21"/>
          <w:lang w:eastAsia="es-AR"/>
        </w:rPr>
        <w:t>Que</w:t>
      </w:r>
      <w:proofErr w:type="gramEnd"/>
      <w:r w:rsidRPr="00CB6B30">
        <w:rPr>
          <w:rFonts w:ascii="Helvetica" w:eastAsia="Times New Roman" w:hAnsi="Helvetica" w:cs="Helvetica"/>
          <w:color w:val="111111"/>
          <w:sz w:val="21"/>
          <w:szCs w:val="21"/>
          <w:lang w:eastAsia="es-AR"/>
        </w:rPr>
        <w:t xml:space="preserve"> por consiguiente, se dictó la Resolución General </w:t>
      </w:r>
      <w:proofErr w:type="spellStart"/>
      <w:r w:rsidRPr="00CB6B30">
        <w:rPr>
          <w:rFonts w:ascii="Helvetica" w:eastAsia="Times New Roman" w:hAnsi="Helvetica" w:cs="Helvetica"/>
          <w:color w:val="111111"/>
          <w:sz w:val="21"/>
          <w:szCs w:val="21"/>
          <w:lang w:eastAsia="es-AR"/>
        </w:rPr>
        <w:t>Nº</w:t>
      </w:r>
      <w:proofErr w:type="spellEnd"/>
      <w:r w:rsidRPr="00CB6B30">
        <w:rPr>
          <w:rFonts w:ascii="Helvetica" w:eastAsia="Times New Roman" w:hAnsi="Helvetica" w:cs="Helvetica"/>
          <w:color w:val="111111"/>
          <w:sz w:val="21"/>
          <w:szCs w:val="21"/>
          <w:lang w:eastAsia="es-AR"/>
        </w:rPr>
        <w:t xml:space="preserve"> 4.667 mediante la cual se previeron las disposiciones y requisitos a observar por los sujetos alcanzados por la Ley </w:t>
      </w:r>
      <w:proofErr w:type="spellStart"/>
      <w:r w:rsidRPr="00CB6B30">
        <w:rPr>
          <w:rFonts w:ascii="Helvetica" w:eastAsia="Times New Roman" w:hAnsi="Helvetica" w:cs="Helvetica"/>
          <w:color w:val="111111"/>
          <w:sz w:val="21"/>
          <w:szCs w:val="21"/>
          <w:lang w:eastAsia="es-AR"/>
        </w:rPr>
        <w:t>Nº</w:t>
      </w:r>
      <w:proofErr w:type="spellEnd"/>
      <w:r w:rsidRPr="00CB6B30">
        <w:rPr>
          <w:rFonts w:ascii="Helvetica" w:eastAsia="Times New Roman" w:hAnsi="Helvetica" w:cs="Helvetica"/>
          <w:color w:val="111111"/>
          <w:sz w:val="21"/>
          <w:szCs w:val="21"/>
          <w:lang w:eastAsia="es-AR"/>
        </w:rPr>
        <w:t> 27.541, a los fines de acceder al régimen de regularización.</w:t>
      </w:r>
    </w:p>
    <w:p w14:paraId="56683C0A"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 xml:space="preserve">Que teniendo en cuenta el cambio de contexto a partir de la pandemia de COVID-19 declarada por la Organización Mundial de la Salud (OMS), y a efectos de no afectar la posibilidad de una amplia adhesión y la eficacia del plan instrumentado para la recuperación de la economía, se dictó el Decreto de Necesidad y Urgencia </w:t>
      </w:r>
      <w:proofErr w:type="spellStart"/>
      <w:r w:rsidRPr="00CB6B30">
        <w:rPr>
          <w:rFonts w:ascii="Helvetica" w:eastAsia="Times New Roman" w:hAnsi="Helvetica" w:cs="Helvetica"/>
          <w:color w:val="111111"/>
          <w:sz w:val="21"/>
          <w:szCs w:val="21"/>
          <w:lang w:eastAsia="es-AR"/>
        </w:rPr>
        <w:t>Nº</w:t>
      </w:r>
      <w:proofErr w:type="spellEnd"/>
      <w:r w:rsidRPr="00CB6B30">
        <w:rPr>
          <w:rFonts w:ascii="Helvetica" w:eastAsia="Times New Roman" w:hAnsi="Helvetica" w:cs="Helvetica"/>
          <w:color w:val="111111"/>
          <w:sz w:val="21"/>
          <w:szCs w:val="21"/>
          <w:lang w:eastAsia="es-AR"/>
        </w:rPr>
        <w:t xml:space="preserve"> 316 de fecha 28 de marzo de 2020, a través del cual se prorrogó hasta el 30 de junio de 2020 inclusive, el plazo máximo </w:t>
      </w:r>
      <w:r w:rsidRPr="00CB6B30">
        <w:rPr>
          <w:rFonts w:ascii="Helvetica" w:eastAsia="Times New Roman" w:hAnsi="Helvetica" w:cs="Helvetica"/>
          <w:color w:val="111111"/>
          <w:sz w:val="21"/>
          <w:szCs w:val="21"/>
          <w:lang w:eastAsia="es-AR"/>
        </w:rPr>
        <w:lastRenderedPageBreak/>
        <w:t xml:space="preserve">para que los contribuyentes y responsables puedan acogerse al régimen de regularización previsto en el Título IV de la Ley </w:t>
      </w:r>
      <w:proofErr w:type="spellStart"/>
      <w:r w:rsidRPr="00CB6B30">
        <w:rPr>
          <w:rFonts w:ascii="Helvetica" w:eastAsia="Times New Roman" w:hAnsi="Helvetica" w:cs="Helvetica"/>
          <w:color w:val="111111"/>
          <w:sz w:val="21"/>
          <w:szCs w:val="21"/>
          <w:lang w:eastAsia="es-AR"/>
        </w:rPr>
        <w:t>Nº</w:t>
      </w:r>
      <w:proofErr w:type="spellEnd"/>
      <w:r w:rsidRPr="00CB6B30">
        <w:rPr>
          <w:rFonts w:ascii="Helvetica" w:eastAsia="Times New Roman" w:hAnsi="Helvetica" w:cs="Helvetica"/>
          <w:color w:val="111111"/>
          <w:sz w:val="21"/>
          <w:szCs w:val="21"/>
          <w:lang w:eastAsia="es-AR"/>
        </w:rPr>
        <w:t> 27.541.</w:t>
      </w:r>
    </w:p>
    <w:p w14:paraId="77D4379A"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Que por el artículo 2º del mismo decreto se instruyó a esta Administración Federal a dictar la normativa complementaria necesaria para la instrumentación de la aludida prórroga.</w:t>
      </w:r>
    </w:p>
    <w:p w14:paraId="23660556"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proofErr w:type="gramStart"/>
      <w:r w:rsidRPr="00CB6B30">
        <w:rPr>
          <w:rFonts w:ascii="Helvetica" w:eastAsia="Times New Roman" w:hAnsi="Helvetica" w:cs="Helvetica"/>
          <w:color w:val="111111"/>
          <w:sz w:val="21"/>
          <w:szCs w:val="21"/>
          <w:lang w:eastAsia="es-AR"/>
        </w:rPr>
        <w:t>Que</w:t>
      </w:r>
      <w:proofErr w:type="gramEnd"/>
      <w:r w:rsidRPr="00CB6B30">
        <w:rPr>
          <w:rFonts w:ascii="Helvetica" w:eastAsia="Times New Roman" w:hAnsi="Helvetica" w:cs="Helvetica"/>
          <w:color w:val="111111"/>
          <w:sz w:val="21"/>
          <w:szCs w:val="21"/>
          <w:lang w:eastAsia="es-AR"/>
        </w:rPr>
        <w:t xml:space="preserve"> en consecuencia, corresponde adecuar la Resolución General </w:t>
      </w:r>
      <w:proofErr w:type="spellStart"/>
      <w:r w:rsidRPr="00CB6B30">
        <w:rPr>
          <w:rFonts w:ascii="Helvetica" w:eastAsia="Times New Roman" w:hAnsi="Helvetica" w:cs="Helvetica"/>
          <w:color w:val="111111"/>
          <w:sz w:val="21"/>
          <w:szCs w:val="21"/>
          <w:lang w:eastAsia="es-AR"/>
        </w:rPr>
        <w:t>N°</w:t>
      </w:r>
      <w:proofErr w:type="spellEnd"/>
      <w:r w:rsidRPr="00CB6B30">
        <w:rPr>
          <w:rFonts w:ascii="Helvetica" w:eastAsia="Times New Roman" w:hAnsi="Helvetica" w:cs="Helvetica"/>
          <w:color w:val="111111"/>
          <w:sz w:val="21"/>
          <w:szCs w:val="21"/>
          <w:lang w:eastAsia="es-AR"/>
        </w:rPr>
        <w:t> 4.667 en forma conducente con dicha prórroga.</w:t>
      </w:r>
    </w:p>
    <w:p w14:paraId="1BE7676C"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Que además se estima conveniente extender las condiciones previstas para los planes de facilidades de pago presentados en el mes de marzo, a aquellos que se consoliden en el mes de abril y hasta el 29 de mayo de 2020, inclusive.</w:t>
      </w:r>
    </w:p>
    <w:p w14:paraId="17775009"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Que respecto de las fórmulas utilizadas para el cálculo del pago a cuenta y de las cuotas, se derogan los anexos respectivos, pudiendo ser éstas consultadas en el micrositio “Moratoria” del sitio web institucional.</w:t>
      </w:r>
    </w:p>
    <w:p w14:paraId="57462CC7"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Que han tomado la intervención que les compete la Dirección de Legislación y las Subdirecciones Generales de Asuntos Jurídicos, Recaudación, Fiscalización y Sistemas y Telecomunicaciones.</w:t>
      </w:r>
    </w:p>
    <w:p w14:paraId="3A30C162"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 xml:space="preserve">Que la presente se dicta en ejercicio de las facultades conferidas por el artículo 17 de la Ley </w:t>
      </w:r>
      <w:proofErr w:type="spellStart"/>
      <w:r w:rsidRPr="00CB6B30">
        <w:rPr>
          <w:rFonts w:ascii="Helvetica" w:eastAsia="Times New Roman" w:hAnsi="Helvetica" w:cs="Helvetica"/>
          <w:color w:val="111111"/>
          <w:sz w:val="21"/>
          <w:szCs w:val="21"/>
          <w:lang w:eastAsia="es-AR"/>
        </w:rPr>
        <w:t>N°</w:t>
      </w:r>
      <w:proofErr w:type="spellEnd"/>
      <w:r w:rsidRPr="00CB6B30">
        <w:rPr>
          <w:rFonts w:ascii="Helvetica" w:eastAsia="Times New Roman" w:hAnsi="Helvetica" w:cs="Helvetica"/>
          <w:color w:val="111111"/>
          <w:sz w:val="21"/>
          <w:szCs w:val="21"/>
          <w:lang w:eastAsia="es-AR"/>
        </w:rPr>
        <w:t xml:space="preserve"> 27.541, el artículo 2° del Decreto </w:t>
      </w:r>
      <w:proofErr w:type="spellStart"/>
      <w:r w:rsidRPr="00CB6B30">
        <w:rPr>
          <w:rFonts w:ascii="Helvetica" w:eastAsia="Times New Roman" w:hAnsi="Helvetica" w:cs="Helvetica"/>
          <w:color w:val="111111"/>
          <w:sz w:val="21"/>
          <w:szCs w:val="21"/>
          <w:lang w:eastAsia="es-AR"/>
        </w:rPr>
        <w:t>N°</w:t>
      </w:r>
      <w:proofErr w:type="spellEnd"/>
      <w:r w:rsidRPr="00CB6B30">
        <w:rPr>
          <w:rFonts w:ascii="Helvetica" w:eastAsia="Times New Roman" w:hAnsi="Helvetica" w:cs="Helvetica"/>
          <w:color w:val="111111"/>
          <w:sz w:val="21"/>
          <w:szCs w:val="21"/>
          <w:lang w:eastAsia="es-AR"/>
        </w:rPr>
        <w:t xml:space="preserve"> 316 del 28 de marzo de 2020 y el artículo 7° del Decreto </w:t>
      </w:r>
      <w:proofErr w:type="spellStart"/>
      <w:r w:rsidRPr="00CB6B30">
        <w:rPr>
          <w:rFonts w:ascii="Helvetica" w:eastAsia="Times New Roman" w:hAnsi="Helvetica" w:cs="Helvetica"/>
          <w:color w:val="111111"/>
          <w:sz w:val="21"/>
          <w:szCs w:val="21"/>
          <w:lang w:eastAsia="es-AR"/>
        </w:rPr>
        <w:t>N°</w:t>
      </w:r>
      <w:proofErr w:type="spellEnd"/>
      <w:r w:rsidRPr="00CB6B30">
        <w:rPr>
          <w:rFonts w:ascii="Helvetica" w:eastAsia="Times New Roman" w:hAnsi="Helvetica" w:cs="Helvetica"/>
          <w:color w:val="111111"/>
          <w:sz w:val="21"/>
          <w:szCs w:val="21"/>
          <w:lang w:eastAsia="es-AR"/>
        </w:rPr>
        <w:t> 618 del 10 de julio de 1997, sus modificatorios y sus complementarios.</w:t>
      </w:r>
    </w:p>
    <w:p w14:paraId="7B77A670"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Por ello,</w:t>
      </w:r>
    </w:p>
    <w:p w14:paraId="38390EB9"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LA ADMINISTRADORA FEDERAL DE LA ADMINISTRACIÓN FEDERAL DE INGRESOS PÚBLICOS</w:t>
      </w:r>
    </w:p>
    <w:p w14:paraId="7FF6A8BE"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RESUELVE:</w:t>
      </w:r>
    </w:p>
    <w:p w14:paraId="34B4838D"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ARTÍCULO 1</w:t>
      </w:r>
      <w:proofErr w:type="gramStart"/>
      <w:r w:rsidRPr="00CB6B30">
        <w:rPr>
          <w:rFonts w:ascii="Helvetica" w:eastAsia="Times New Roman" w:hAnsi="Helvetica" w:cs="Helvetica"/>
          <w:color w:val="111111"/>
          <w:sz w:val="21"/>
          <w:szCs w:val="21"/>
          <w:lang w:eastAsia="es-AR"/>
        </w:rPr>
        <w:t>°.-</w:t>
      </w:r>
      <w:proofErr w:type="gramEnd"/>
      <w:r w:rsidRPr="00CB6B30">
        <w:rPr>
          <w:rFonts w:ascii="Helvetica" w:eastAsia="Times New Roman" w:hAnsi="Helvetica" w:cs="Helvetica"/>
          <w:color w:val="111111"/>
          <w:sz w:val="21"/>
          <w:szCs w:val="21"/>
          <w:lang w:eastAsia="es-AR"/>
        </w:rPr>
        <w:t xml:space="preserve"> Modificar la Resolución General </w:t>
      </w:r>
      <w:proofErr w:type="spellStart"/>
      <w:r w:rsidRPr="00CB6B30">
        <w:rPr>
          <w:rFonts w:ascii="Helvetica" w:eastAsia="Times New Roman" w:hAnsi="Helvetica" w:cs="Helvetica"/>
          <w:color w:val="111111"/>
          <w:sz w:val="21"/>
          <w:szCs w:val="21"/>
          <w:lang w:eastAsia="es-AR"/>
        </w:rPr>
        <w:t>N°</w:t>
      </w:r>
      <w:proofErr w:type="spellEnd"/>
      <w:r w:rsidRPr="00CB6B30">
        <w:rPr>
          <w:rFonts w:ascii="Helvetica" w:eastAsia="Times New Roman" w:hAnsi="Helvetica" w:cs="Helvetica"/>
          <w:color w:val="111111"/>
          <w:sz w:val="21"/>
          <w:szCs w:val="21"/>
          <w:lang w:eastAsia="es-AR"/>
        </w:rPr>
        <w:t> 4.667, en la forma que se indica a continuación:</w:t>
      </w:r>
    </w:p>
    <w:p w14:paraId="0C277BE3"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a) Sustituir en el primer párrafo del inciso a) del artículo 4°, la expresión “…hasta el día 30 de abril de 2020…”, por la expresión “… hasta el día 30 de junio de 2020…”.</w:t>
      </w:r>
    </w:p>
    <w:p w14:paraId="61C867C3"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b) Sustituir en el primer párrafo del artículo 6°, la expresión “…hasta el día 30 de abril de 2020…”, por la expresión “…hasta el día 30 de junio de 2020…”.</w:t>
      </w:r>
    </w:p>
    <w:p w14:paraId="60419BCC"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c) Sustituir en el artículo 23, la expresión “…con anterioridad al día 30 de abril de 2020.”, por la expresión “…con anterioridad al día 30 de junio de 2020.”.</w:t>
      </w:r>
    </w:p>
    <w:p w14:paraId="5002D9E5"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d) Sustituir en el segundo párrafo del artículo 25, la expresión “…hasta el día 30 de abril de 2020...”, por la expresión “…hasta el día 30 de junio de 2020...”.</w:t>
      </w:r>
    </w:p>
    <w:p w14:paraId="186DF88A"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e) Sustituir en el segundo párrafo del artículo 30, la expresión “…al día 30 de abril de 2020...”, por la expresión “…al día 30 de junio de 2020...”.</w:t>
      </w:r>
    </w:p>
    <w:p w14:paraId="4DE49183"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lastRenderedPageBreak/>
        <w:t>f) Sustituir el tercer párrafo del artículo 33, por el siguiente:</w:t>
      </w:r>
    </w:p>
    <w:p w14:paraId="54AF1E16"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 xml:space="preserve">“El porcentaje del pago a cuenta, la cantidad máxima de cuotas y el mes de vencimiento de la primera de ellas, serán determinados en función del tipo de deuda, el tipo de sujeto y la </w:t>
      </w:r>
      <w:bookmarkStart w:id="0" w:name="_GoBack"/>
      <w:bookmarkEnd w:id="0"/>
      <w:r w:rsidRPr="00CB6B30">
        <w:rPr>
          <w:rFonts w:ascii="Helvetica" w:eastAsia="Times New Roman" w:hAnsi="Helvetica" w:cs="Helvetica"/>
          <w:color w:val="111111"/>
          <w:sz w:val="21"/>
          <w:szCs w:val="21"/>
          <w:lang w:eastAsia="es-AR"/>
        </w:rPr>
        <w:t>fecha de consolidación, de conformidad con lo que se indica seguidamente:</w:t>
      </w:r>
    </w:p>
    <w:tbl>
      <w:tblPr>
        <w:tblW w:w="0" w:type="auto"/>
        <w:tblCellMar>
          <w:top w:w="15" w:type="dxa"/>
          <w:left w:w="15" w:type="dxa"/>
          <w:bottom w:w="15" w:type="dxa"/>
          <w:right w:w="15" w:type="dxa"/>
        </w:tblCellMar>
        <w:tblLook w:val="04A0" w:firstRow="1" w:lastRow="0" w:firstColumn="1" w:lastColumn="0" w:noHBand="0" w:noVBand="1"/>
      </w:tblPr>
      <w:tblGrid>
        <w:gridCol w:w="2633"/>
        <w:gridCol w:w="1607"/>
        <w:gridCol w:w="797"/>
        <w:gridCol w:w="668"/>
        <w:gridCol w:w="667"/>
        <w:gridCol w:w="797"/>
        <w:gridCol w:w="668"/>
        <w:gridCol w:w="667"/>
      </w:tblGrid>
      <w:tr w:rsidR="00CB6B30" w:rsidRPr="00CB6B30" w14:paraId="3EA47995" w14:textId="77777777" w:rsidTr="00CB6B30">
        <w:tc>
          <w:tcPr>
            <w:tcW w:w="0" w:type="auto"/>
            <w:vMerge w:val="restart"/>
            <w:shd w:val="clear" w:color="auto" w:fill="auto"/>
            <w:tcMar>
              <w:top w:w="75" w:type="dxa"/>
              <w:left w:w="75" w:type="dxa"/>
              <w:bottom w:w="75" w:type="dxa"/>
              <w:right w:w="75" w:type="dxa"/>
            </w:tcMar>
            <w:vAlign w:val="center"/>
            <w:hideMark/>
          </w:tcPr>
          <w:p w14:paraId="5D22277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TIPO DE DEUDA</w:t>
            </w:r>
          </w:p>
        </w:tc>
        <w:tc>
          <w:tcPr>
            <w:tcW w:w="0" w:type="auto"/>
            <w:vMerge w:val="restart"/>
            <w:shd w:val="clear" w:color="auto" w:fill="auto"/>
            <w:tcMar>
              <w:top w:w="75" w:type="dxa"/>
              <w:left w:w="75" w:type="dxa"/>
              <w:bottom w:w="75" w:type="dxa"/>
              <w:right w:w="75" w:type="dxa"/>
            </w:tcMar>
            <w:vAlign w:val="center"/>
            <w:hideMark/>
          </w:tcPr>
          <w:p w14:paraId="02516C5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TIPO DE SUJETO</w:t>
            </w:r>
          </w:p>
        </w:tc>
        <w:tc>
          <w:tcPr>
            <w:tcW w:w="0" w:type="auto"/>
            <w:gridSpan w:val="6"/>
            <w:shd w:val="clear" w:color="auto" w:fill="auto"/>
            <w:tcMar>
              <w:top w:w="75" w:type="dxa"/>
              <w:left w:w="75" w:type="dxa"/>
              <w:bottom w:w="75" w:type="dxa"/>
              <w:right w:w="75" w:type="dxa"/>
            </w:tcMar>
            <w:vAlign w:val="center"/>
            <w:hideMark/>
          </w:tcPr>
          <w:p w14:paraId="08B5B9C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FECHA DE CONSOLIDACIÓN</w:t>
            </w:r>
          </w:p>
        </w:tc>
      </w:tr>
      <w:tr w:rsidR="00CB6B30" w:rsidRPr="00CB6B30" w14:paraId="6135B610" w14:textId="77777777" w:rsidTr="00CB6B30">
        <w:tc>
          <w:tcPr>
            <w:tcW w:w="0" w:type="auto"/>
            <w:vMerge/>
            <w:shd w:val="clear" w:color="auto" w:fill="auto"/>
            <w:vAlign w:val="center"/>
            <w:hideMark/>
          </w:tcPr>
          <w:p w14:paraId="46D930B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vMerge/>
            <w:shd w:val="clear" w:color="auto" w:fill="auto"/>
            <w:vAlign w:val="center"/>
            <w:hideMark/>
          </w:tcPr>
          <w:p w14:paraId="152FE1F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gridSpan w:val="3"/>
            <w:shd w:val="clear" w:color="auto" w:fill="auto"/>
            <w:tcMar>
              <w:top w:w="75" w:type="dxa"/>
              <w:left w:w="75" w:type="dxa"/>
              <w:bottom w:w="75" w:type="dxa"/>
              <w:right w:w="75" w:type="dxa"/>
            </w:tcMar>
            <w:vAlign w:val="center"/>
            <w:hideMark/>
          </w:tcPr>
          <w:p w14:paraId="68FC544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Desde el 17/02/2020 hasta el 29/05/2020</w:t>
            </w:r>
          </w:p>
        </w:tc>
        <w:tc>
          <w:tcPr>
            <w:tcW w:w="0" w:type="auto"/>
            <w:gridSpan w:val="3"/>
            <w:shd w:val="clear" w:color="auto" w:fill="auto"/>
            <w:tcMar>
              <w:top w:w="75" w:type="dxa"/>
              <w:left w:w="75" w:type="dxa"/>
              <w:bottom w:w="75" w:type="dxa"/>
              <w:right w:w="75" w:type="dxa"/>
            </w:tcMar>
            <w:vAlign w:val="center"/>
            <w:hideMark/>
          </w:tcPr>
          <w:p w14:paraId="333A5E0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Desde el 30/05/2020 hasta el 30/06/2020</w:t>
            </w:r>
          </w:p>
        </w:tc>
      </w:tr>
      <w:tr w:rsidR="00CB6B30" w:rsidRPr="00CB6B30" w14:paraId="0A1B443A" w14:textId="77777777" w:rsidTr="00CB6B30">
        <w:tc>
          <w:tcPr>
            <w:tcW w:w="0" w:type="auto"/>
            <w:vMerge/>
            <w:shd w:val="clear" w:color="auto" w:fill="auto"/>
            <w:vAlign w:val="center"/>
            <w:hideMark/>
          </w:tcPr>
          <w:p w14:paraId="6496724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vMerge/>
            <w:shd w:val="clear" w:color="auto" w:fill="auto"/>
            <w:vAlign w:val="center"/>
            <w:hideMark/>
          </w:tcPr>
          <w:p w14:paraId="7AAA1DC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6B451FE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Pago a Cuenta</w:t>
            </w:r>
          </w:p>
        </w:tc>
        <w:tc>
          <w:tcPr>
            <w:tcW w:w="0" w:type="auto"/>
            <w:shd w:val="clear" w:color="auto" w:fill="auto"/>
            <w:tcMar>
              <w:top w:w="75" w:type="dxa"/>
              <w:left w:w="75" w:type="dxa"/>
              <w:bottom w:w="75" w:type="dxa"/>
              <w:right w:w="75" w:type="dxa"/>
            </w:tcMar>
            <w:vAlign w:val="center"/>
            <w:hideMark/>
          </w:tcPr>
          <w:p w14:paraId="55E6AF9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Cuotas</w:t>
            </w:r>
          </w:p>
        </w:tc>
        <w:tc>
          <w:tcPr>
            <w:tcW w:w="0" w:type="auto"/>
            <w:shd w:val="clear" w:color="auto" w:fill="auto"/>
            <w:tcMar>
              <w:top w:w="75" w:type="dxa"/>
              <w:left w:w="75" w:type="dxa"/>
              <w:bottom w:w="75" w:type="dxa"/>
              <w:right w:w="75" w:type="dxa"/>
            </w:tcMar>
            <w:vAlign w:val="center"/>
            <w:hideMark/>
          </w:tcPr>
          <w:p w14:paraId="0DEC4F9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1ra. Cuota</w:t>
            </w:r>
          </w:p>
        </w:tc>
        <w:tc>
          <w:tcPr>
            <w:tcW w:w="0" w:type="auto"/>
            <w:shd w:val="clear" w:color="auto" w:fill="auto"/>
            <w:tcMar>
              <w:top w:w="75" w:type="dxa"/>
              <w:left w:w="75" w:type="dxa"/>
              <w:bottom w:w="75" w:type="dxa"/>
              <w:right w:w="75" w:type="dxa"/>
            </w:tcMar>
            <w:vAlign w:val="center"/>
            <w:hideMark/>
          </w:tcPr>
          <w:p w14:paraId="3DB60BC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Pago a Cuenta</w:t>
            </w:r>
          </w:p>
        </w:tc>
        <w:tc>
          <w:tcPr>
            <w:tcW w:w="0" w:type="auto"/>
            <w:shd w:val="clear" w:color="auto" w:fill="auto"/>
            <w:tcMar>
              <w:top w:w="75" w:type="dxa"/>
              <w:left w:w="75" w:type="dxa"/>
              <w:bottom w:w="75" w:type="dxa"/>
              <w:right w:w="75" w:type="dxa"/>
            </w:tcMar>
            <w:vAlign w:val="center"/>
            <w:hideMark/>
          </w:tcPr>
          <w:p w14:paraId="0BEDB1E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Cuotas</w:t>
            </w:r>
          </w:p>
        </w:tc>
        <w:tc>
          <w:tcPr>
            <w:tcW w:w="0" w:type="auto"/>
            <w:shd w:val="clear" w:color="auto" w:fill="auto"/>
            <w:tcMar>
              <w:top w:w="75" w:type="dxa"/>
              <w:left w:w="75" w:type="dxa"/>
              <w:bottom w:w="75" w:type="dxa"/>
              <w:right w:w="75" w:type="dxa"/>
            </w:tcMar>
            <w:vAlign w:val="center"/>
            <w:hideMark/>
          </w:tcPr>
          <w:p w14:paraId="38CF772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1ra. Cuota</w:t>
            </w:r>
          </w:p>
        </w:tc>
      </w:tr>
      <w:tr w:rsidR="00CB6B30" w:rsidRPr="00CB6B30" w14:paraId="795E4419" w14:textId="77777777" w:rsidTr="00CB6B30">
        <w:tc>
          <w:tcPr>
            <w:tcW w:w="0" w:type="auto"/>
            <w:vMerge w:val="restart"/>
            <w:shd w:val="clear" w:color="auto" w:fill="auto"/>
            <w:tcMar>
              <w:top w:w="75" w:type="dxa"/>
              <w:left w:w="75" w:type="dxa"/>
              <w:bottom w:w="75" w:type="dxa"/>
              <w:right w:w="75" w:type="dxa"/>
            </w:tcMar>
            <w:vAlign w:val="center"/>
            <w:hideMark/>
          </w:tcPr>
          <w:p w14:paraId="531520D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Impuestos, Contribuciones de Seguridad Social, Autónomos y Monotributo</w:t>
            </w:r>
          </w:p>
        </w:tc>
        <w:tc>
          <w:tcPr>
            <w:tcW w:w="0" w:type="auto"/>
            <w:shd w:val="clear" w:color="auto" w:fill="auto"/>
            <w:tcMar>
              <w:top w:w="75" w:type="dxa"/>
              <w:left w:w="75" w:type="dxa"/>
              <w:bottom w:w="75" w:type="dxa"/>
              <w:right w:w="75" w:type="dxa"/>
            </w:tcMar>
            <w:vAlign w:val="center"/>
            <w:hideMark/>
          </w:tcPr>
          <w:p w14:paraId="6C9A962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Micro y Entidades Civiles sin fines de lucro</w:t>
            </w:r>
          </w:p>
        </w:tc>
        <w:tc>
          <w:tcPr>
            <w:tcW w:w="0" w:type="auto"/>
            <w:shd w:val="clear" w:color="auto" w:fill="auto"/>
            <w:tcMar>
              <w:top w:w="75" w:type="dxa"/>
              <w:left w:w="75" w:type="dxa"/>
              <w:bottom w:w="75" w:type="dxa"/>
              <w:right w:w="75" w:type="dxa"/>
            </w:tcMar>
            <w:vAlign w:val="center"/>
            <w:hideMark/>
          </w:tcPr>
          <w:p w14:paraId="018018A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2A3EDCD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48AB0EF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65698CB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1D48BB40"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0A444D83"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49DDFCBF" w14:textId="77777777" w:rsidTr="00CB6B30">
        <w:tc>
          <w:tcPr>
            <w:tcW w:w="0" w:type="auto"/>
            <w:vMerge/>
            <w:shd w:val="clear" w:color="auto" w:fill="auto"/>
            <w:vAlign w:val="center"/>
            <w:hideMark/>
          </w:tcPr>
          <w:p w14:paraId="3067650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099C61D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Pequeña y Mediana Tramo 1</w:t>
            </w:r>
          </w:p>
        </w:tc>
        <w:tc>
          <w:tcPr>
            <w:tcW w:w="0" w:type="auto"/>
            <w:shd w:val="clear" w:color="auto" w:fill="auto"/>
            <w:tcMar>
              <w:top w:w="75" w:type="dxa"/>
              <w:left w:w="75" w:type="dxa"/>
              <w:bottom w:w="75" w:type="dxa"/>
              <w:right w:w="75" w:type="dxa"/>
            </w:tcMar>
            <w:vAlign w:val="center"/>
            <w:hideMark/>
          </w:tcPr>
          <w:p w14:paraId="4F623ED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w:t>
            </w:r>
          </w:p>
        </w:tc>
        <w:tc>
          <w:tcPr>
            <w:tcW w:w="0" w:type="auto"/>
            <w:shd w:val="clear" w:color="auto" w:fill="auto"/>
            <w:tcMar>
              <w:top w:w="75" w:type="dxa"/>
              <w:left w:w="75" w:type="dxa"/>
              <w:bottom w:w="75" w:type="dxa"/>
              <w:right w:w="75" w:type="dxa"/>
            </w:tcMar>
            <w:vAlign w:val="center"/>
            <w:hideMark/>
          </w:tcPr>
          <w:p w14:paraId="0711676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41B8446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55247ABB"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3%</w:t>
            </w:r>
          </w:p>
        </w:tc>
        <w:tc>
          <w:tcPr>
            <w:tcW w:w="0" w:type="auto"/>
            <w:shd w:val="clear" w:color="auto" w:fill="auto"/>
            <w:tcMar>
              <w:top w:w="75" w:type="dxa"/>
              <w:left w:w="75" w:type="dxa"/>
              <w:bottom w:w="75" w:type="dxa"/>
              <w:right w:w="75" w:type="dxa"/>
            </w:tcMar>
            <w:vAlign w:val="center"/>
            <w:hideMark/>
          </w:tcPr>
          <w:p w14:paraId="73853FEE"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59F2922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746C6C7B" w14:textId="77777777" w:rsidTr="00CB6B30">
        <w:tc>
          <w:tcPr>
            <w:tcW w:w="0" w:type="auto"/>
            <w:vMerge/>
            <w:shd w:val="clear" w:color="auto" w:fill="auto"/>
            <w:vAlign w:val="center"/>
            <w:hideMark/>
          </w:tcPr>
          <w:p w14:paraId="6435FAA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05DE05FB"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Mediana Tramo 2</w:t>
            </w:r>
          </w:p>
        </w:tc>
        <w:tc>
          <w:tcPr>
            <w:tcW w:w="0" w:type="auto"/>
            <w:shd w:val="clear" w:color="auto" w:fill="auto"/>
            <w:tcMar>
              <w:top w:w="75" w:type="dxa"/>
              <w:left w:w="75" w:type="dxa"/>
              <w:bottom w:w="75" w:type="dxa"/>
              <w:right w:w="75" w:type="dxa"/>
            </w:tcMar>
            <w:vAlign w:val="center"/>
            <w:hideMark/>
          </w:tcPr>
          <w:p w14:paraId="319826D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2%</w:t>
            </w:r>
          </w:p>
        </w:tc>
        <w:tc>
          <w:tcPr>
            <w:tcW w:w="0" w:type="auto"/>
            <w:shd w:val="clear" w:color="auto" w:fill="auto"/>
            <w:tcMar>
              <w:top w:w="75" w:type="dxa"/>
              <w:left w:w="75" w:type="dxa"/>
              <w:bottom w:w="75" w:type="dxa"/>
              <w:right w:w="75" w:type="dxa"/>
            </w:tcMar>
            <w:vAlign w:val="center"/>
            <w:hideMark/>
          </w:tcPr>
          <w:p w14:paraId="3516792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3A324A0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364E89E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7E0CD52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4D59430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6E1599F4" w14:textId="77777777" w:rsidTr="00CB6B30">
        <w:tc>
          <w:tcPr>
            <w:tcW w:w="0" w:type="auto"/>
            <w:vMerge/>
            <w:shd w:val="clear" w:color="auto" w:fill="auto"/>
            <w:vAlign w:val="center"/>
            <w:hideMark/>
          </w:tcPr>
          <w:p w14:paraId="7E8A92D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252FE1C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Condicionales</w:t>
            </w:r>
          </w:p>
        </w:tc>
        <w:tc>
          <w:tcPr>
            <w:tcW w:w="0" w:type="auto"/>
            <w:shd w:val="clear" w:color="auto" w:fill="auto"/>
            <w:tcMar>
              <w:top w:w="75" w:type="dxa"/>
              <w:left w:w="75" w:type="dxa"/>
              <w:bottom w:w="75" w:type="dxa"/>
              <w:right w:w="75" w:type="dxa"/>
            </w:tcMar>
            <w:vAlign w:val="center"/>
            <w:hideMark/>
          </w:tcPr>
          <w:p w14:paraId="38F6490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5B5C0C9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755C23DE"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6AD8F72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208D940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72742E00"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0F42451A" w14:textId="77777777" w:rsidTr="00CB6B30">
        <w:tc>
          <w:tcPr>
            <w:tcW w:w="0" w:type="auto"/>
            <w:vMerge w:val="restart"/>
            <w:shd w:val="clear" w:color="auto" w:fill="auto"/>
            <w:tcMar>
              <w:top w:w="75" w:type="dxa"/>
              <w:left w:w="75" w:type="dxa"/>
              <w:bottom w:w="75" w:type="dxa"/>
              <w:right w:w="75" w:type="dxa"/>
            </w:tcMar>
            <w:vAlign w:val="center"/>
            <w:hideMark/>
          </w:tcPr>
          <w:p w14:paraId="4DC00B7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Aportes de Seguridad Social, Retenciones y Percepciones Impositivas y de los Recursos de la Seguridad Social</w:t>
            </w:r>
          </w:p>
        </w:tc>
        <w:tc>
          <w:tcPr>
            <w:tcW w:w="0" w:type="auto"/>
            <w:shd w:val="clear" w:color="auto" w:fill="auto"/>
            <w:tcMar>
              <w:top w:w="75" w:type="dxa"/>
              <w:left w:w="75" w:type="dxa"/>
              <w:bottom w:w="75" w:type="dxa"/>
              <w:right w:w="75" w:type="dxa"/>
            </w:tcMar>
            <w:vAlign w:val="center"/>
            <w:hideMark/>
          </w:tcPr>
          <w:p w14:paraId="5B84CEB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Micro y Entidades Civiles sin fines de lucro</w:t>
            </w:r>
          </w:p>
        </w:tc>
        <w:tc>
          <w:tcPr>
            <w:tcW w:w="0" w:type="auto"/>
            <w:shd w:val="clear" w:color="auto" w:fill="auto"/>
            <w:tcMar>
              <w:top w:w="75" w:type="dxa"/>
              <w:left w:w="75" w:type="dxa"/>
              <w:bottom w:w="75" w:type="dxa"/>
              <w:right w:w="75" w:type="dxa"/>
            </w:tcMar>
            <w:vAlign w:val="center"/>
            <w:hideMark/>
          </w:tcPr>
          <w:p w14:paraId="10FC01D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2EDEDB5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60</w:t>
            </w:r>
          </w:p>
        </w:tc>
        <w:tc>
          <w:tcPr>
            <w:tcW w:w="0" w:type="auto"/>
            <w:shd w:val="clear" w:color="auto" w:fill="auto"/>
            <w:tcMar>
              <w:top w:w="75" w:type="dxa"/>
              <w:left w:w="75" w:type="dxa"/>
              <w:bottom w:w="75" w:type="dxa"/>
              <w:right w:w="75" w:type="dxa"/>
            </w:tcMar>
            <w:vAlign w:val="center"/>
            <w:hideMark/>
          </w:tcPr>
          <w:p w14:paraId="36914A5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7EDE764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376C46E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40</w:t>
            </w:r>
          </w:p>
        </w:tc>
        <w:tc>
          <w:tcPr>
            <w:tcW w:w="0" w:type="auto"/>
            <w:shd w:val="clear" w:color="auto" w:fill="auto"/>
            <w:tcMar>
              <w:top w:w="75" w:type="dxa"/>
              <w:left w:w="75" w:type="dxa"/>
              <w:bottom w:w="75" w:type="dxa"/>
              <w:right w:w="75" w:type="dxa"/>
            </w:tcMar>
            <w:vAlign w:val="center"/>
            <w:hideMark/>
          </w:tcPr>
          <w:p w14:paraId="4FE7EB7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5C836CE4" w14:textId="77777777" w:rsidTr="00CB6B30">
        <w:tc>
          <w:tcPr>
            <w:tcW w:w="0" w:type="auto"/>
            <w:vMerge/>
            <w:shd w:val="clear" w:color="auto" w:fill="auto"/>
            <w:vAlign w:val="center"/>
            <w:hideMark/>
          </w:tcPr>
          <w:p w14:paraId="7C61A160"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4878E32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Pequeña y Mediana Tramo 1</w:t>
            </w:r>
          </w:p>
        </w:tc>
        <w:tc>
          <w:tcPr>
            <w:tcW w:w="0" w:type="auto"/>
            <w:shd w:val="clear" w:color="auto" w:fill="auto"/>
            <w:tcMar>
              <w:top w:w="75" w:type="dxa"/>
              <w:left w:w="75" w:type="dxa"/>
              <w:bottom w:w="75" w:type="dxa"/>
              <w:right w:w="75" w:type="dxa"/>
            </w:tcMar>
            <w:vAlign w:val="center"/>
            <w:hideMark/>
          </w:tcPr>
          <w:p w14:paraId="60AF0BA2"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w:t>
            </w:r>
          </w:p>
        </w:tc>
        <w:tc>
          <w:tcPr>
            <w:tcW w:w="0" w:type="auto"/>
            <w:shd w:val="clear" w:color="auto" w:fill="auto"/>
            <w:tcMar>
              <w:top w:w="75" w:type="dxa"/>
              <w:left w:w="75" w:type="dxa"/>
              <w:bottom w:w="75" w:type="dxa"/>
              <w:right w:w="75" w:type="dxa"/>
            </w:tcMar>
            <w:vAlign w:val="center"/>
            <w:hideMark/>
          </w:tcPr>
          <w:p w14:paraId="365E361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60</w:t>
            </w:r>
          </w:p>
        </w:tc>
        <w:tc>
          <w:tcPr>
            <w:tcW w:w="0" w:type="auto"/>
            <w:shd w:val="clear" w:color="auto" w:fill="auto"/>
            <w:tcMar>
              <w:top w:w="75" w:type="dxa"/>
              <w:left w:w="75" w:type="dxa"/>
              <w:bottom w:w="75" w:type="dxa"/>
              <w:right w:w="75" w:type="dxa"/>
            </w:tcMar>
            <w:vAlign w:val="center"/>
            <w:hideMark/>
          </w:tcPr>
          <w:p w14:paraId="574E144E"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696DC92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3%</w:t>
            </w:r>
          </w:p>
        </w:tc>
        <w:tc>
          <w:tcPr>
            <w:tcW w:w="0" w:type="auto"/>
            <w:shd w:val="clear" w:color="auto" w:fill="auto"/>
            <w:tcMar>
              <w:top w:w="75" w:type="dxa"/>
              <w:left w:w="75" w:type="dxa"/>
              <w:bottom w:w="75" w:type="dxa"/>
              <w:right w:w="75" w:type="dxa"/>
            </w:tcMar>
            <w:vAlign w:val="center"/>
            <w:hideMark/>
          </w:tcPr>
          <w:p w14:paraId="33CACEA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40</w:t>
            </w:r>
          </w:p>
        </w:tc>
        <w:tc>
          <w:tcPr>
            <w:tcW w:w="0" w:type="auto"/>
            <w:shd w:val="clear" w:color="auto" w:fill="auto"/>
            <w:tcMar>
              <w:top w:w="75" w:type="dxa"/>
              <w:left w:w="75" w:type="dxa"/>
              <w:bottom w:w="75" w:type="dxa"/>
              <w:right w:w="75" w:type="dxa"/>
            </w:tcMar>
            <w:vAlign w:val="center"/>
            <w:hideMark/>
          </w:tcPr>
          <w:p w14:paraId="0667F08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0F736424" w14:textId="77777777" w:rsidTr="00CB6B30">
        <w:tc>
          <w:tcPr>
            <w:tcW w:w="0" w:type="auto"/>
            <w:vMerge/>
            <w:shd w:val="clear" w:color="auto" w:fill="auto"/>
            <w:vAlign w:val="center"/>
            <w:hideMark/>
          </w:tcPr>
          <w:p w14:paraId="38F55EB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383F5DE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Mediana Tramo 2</w:t>
            </w:r>
          </w:p>
        </w:tc>
        <w:tc>
          <w:tcPr>
            <w:tcW w:w="0" w:type="auto"/>
            <w:shd w:val="clear" w:color="auto" w:fill="auto"/>
            <w:tcMar>
              <w:top w:w="75" w:type="dxa"/>
              <w:left w:w="75" w:type="dxa"/>
              <w:bottom w:w="75" w:type="dxa"/>
              <w:right w:w="75" w:type="dxa"/>
            </w:tcMar>
            <w:vAlign w:val="center"/>
            <w:hideMark/>
          </w:tcPr>
          <w:p w14:paraId="7203704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2%</w:t>
            </w:r>
          </w:p>
        </w:tc>
        <w:tc>
          <w:tcPr>
            <w:tcW w:w="0" w:type="auto"/>
            <w:shd w:val="clear" w:color="auto" w:fill="auto"/>
            <w:tcMar>
              <w:top w:w="75" w:type="dxa"/>
              <w:left w:w="75" w:type="dxa"/>
              <w:bottom w:w="75" w:type="dxa"/>
              <w:right w:w="75" w:type="dxa"/>
            </w:tcMar>
            <w:vAlign w:val="center"/>
            <w:hideMark/>
          </w:tcPr>
          <w:p w14:paraId="08F7B84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60</w:t>
            </w:r>
          </w:p>
        </w:tc>
        <w:tc>
          <w:tcPr>
            <w:tcW w:w="0" w:type="auto"/>
            <w:shd w:val="clear" w:color="auto" w:fill="auto"/>
            <w:tcMar>
              <w:top w:w="75" w:type="dxa"/>
              <w:left w:w="75" w:type="dxa"/>
              <w:bottom w:w="75" w:type="dxa"/>
              <w:right w:w="75" w:type="dxa"/>
            </w:tcMar>
            <w:vAlign w:val="center"/>
            <w:hideMark/>
          </w:tcPr>
          <w:p w14:paraId="2264425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7B5214A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16EFB0C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40</w:t>
            </w:r>
          </w:p>
        </w:tc>
        <w:tc>
          <w:tcPr>
            <w:tcW w:w="0" w:type="auto"/>
            <w:shd w:val="clear" w:color="auto" w:fill="auto"/>
            <w:tcMar>
              <w:top w:w="75" w:type="dxa"/>
              <w:left w:w="75" w:type="dxa"/>
              <w:bottom w:w="75" w:type="dxa"/>
              <w:right w:w="75" w:type="dxa"/>
            </w:tcMar>
            <w:vAlign w:val="center"/>
            <w:hideMark/>
          </w:tcPr>
          <w:p w14:paraId="045D6EE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711534AB" w14:textId="77777777" w:rsidTr="00CB6B30">
        <w:tc>
          <w:tcPr>
            <w:tcW w:w="0" w:type="auto"/>
            <w:vMerge/>
            <w:shd w:val="clear" w:color="auto" w:fill="auto"/>
            <w:vAlign w:val="center"/>
            <w:hideMark/>
          </w:tcPr>
          <w:p w14:paraId="58D5679B"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0DF49DC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Condicionales</w:t>
            </w:r>
          </w:p>
        </w:tc>
        <w:tc>
          <w:tcPr>
            <w:tcW w:w="0" w:type="auto"/>
            <w:shd w:val="clear" w:color="auto" w:fill="auto"/>
            <w:tcMar>
              <w:top w:w="75" w:type="dxa"/>
              <w:left w:w="75" w:type="dxa"/>
              <w:bottom w:w="75" w:type="dxa"/>
              <w:right w:w="75" w:type="dxa"/>
            </w:tcMar>
            <w:vAlign w:val="center"/>
            <w:hideMark/>
          </w:tcPr>
          <w:p w14:paraId="7C56519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16849CFE"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60</w:t>
            </w:r>
          </w:p>
        </w:tc>
        <w:tc>
          <w:tcPr>
            <w:tcW w:w="0" w:type="auto"/>
            <w:shd w:val="clear" w:color="auto" w:fill="auto"/>
            <w:tcMar>
              <w:top w:w="75" w:type="dxa"/>
              <w:left w:w="75" w:type="dxa"/>
              <w:bottom w:w="75" w:type="dxa"/>
              <w:right w:w="75" w:type="dxa"/>
            </w:tcMar>
            <w:vAlign w:val="center"/>
            <w:hideMark/>
          </w:tcPr>
          <w:p w14:paraId="78878A6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02D63C63"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6FD74BD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40</w:t>
            </w:r>
          </w:p>
        </w:tc>
        <w:tc>
          <w:tcPr>
            <w:tcW w:w="0" w:type="auto"/>
            <w:shd w:val="clear" w:color="auto" w:fill="auto"/>
            <w:tcMar>
              <w:top w:w="75" w:type="dxa"/>
              <w:left w:w="75" w:type="dxa"/>
              <w:bottom w:w="75" w:type="dxa"/>
              <w:right w:w="75" w:type="dxa"/>
            </w:tcMar>
            <w:vAlign w:val="center"/>
            <w:hideMark/>
          </w:tcPr>
          <w:p w14:paraId="3185B24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6B3AFFCA" w14:textId="77777777" w:rsidTr="00CB6B30">
        <w:tc>
          <w:tcPr>
            <w:tcW w:w="0" w:type="auto"/>
            <w:vMerge w:val="restart"/>
            <w:shd w:val="clear" w:color="auto" w:fill="auto"/>
            <w:tcMar>
              <w:top w:w="75" w:type="dxa"/>
              <w:left w:w="75" w:type="dxa"/>
              <w:bottom w:w="75" w:type="dxa"/>
              <w:right w:w="75" w:type="dxa"/>
            </w:tcMar>
            <w:vAlign w:val="center"/>
            <w:hideMark/>
          </w:tcPr>
          <w:p w14:paraId="55926D0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Obligaciones Aduaneras</w:t>
            </w:r>
          </w:p>
        </w:tc>
        <w:tc>
          <w:tcPr>
            <w:tcW w:w="0" w:type="auto"/>
            <w:shd w:val="clear" w:color="auto" w:fill="auto"/>
            <w:tcMar>
              <w:top w:w="75" w:type="dxa"/>
              <w:left w:w="75" w:type="dxa"/>
              <w:bottom w:w="75" w:type="dxa"/>
              <w:right w:w="75" w:type="dxa"/>
            </w:tcMar>
            <w:vAlign w:val="center"/>
            <w:hideMark/>
          </w:tcPr>
          <w:p w14:paraId="6D6D3E0B"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Micro y Entidades Civiles sin fines de lucro</w:t>
            </w:r>
          </w:p>
        </w:tc>
        <w:tc>
          <w:tcPr>
            <w:tcW w:w="0" w:type="auto"/>
            <w:shd w:val="clear" w:color="auto" w:fill="auto"/>
            <w:tcMar>
              <w:top w:w="75" w:type="dxa"/>
              <w:left w:w="75" w:type="dxa"/>
              <w:bottom w:w="75" w:type="dxa"/>
              <w:right w:w="75" w:type="dxa"/>
            </w:tcMar>
            <w:vAlign w:val="center"/>
            <w:hideMark/>
          </w:tcPr>
          <w:p w14:paraId="12F2150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6C1E3A4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5EAFD77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1AE8F5E0"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762D547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440E14A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5E912573" w14:textId="77777777" w:rsidTr="00CB6B30">
        <w:tc>
          <w:tcPr>
            <w:tcW w:w="0" w:type="auto"/>
            <w:vMerge/>
            <w:shd w:val="clear" w:color="auto" w:fill="auto"/>
            <w:vAlign w:val="center"/>
            <w:hideMark/>
          </w:tcPr>
          <w:p w14:paraId="5173E04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656F828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Pequeña y Mediana Tramo 1</w:t>
            </w:r>
          </w:p>
        </w:tc>
        <w:tc>
          <w:tcPr>
            <w:tcW w:w="0" w:type="auto"/>
            <w:shd w:val="clear" w:color="auto" w:fill="auto"/>
            <w:tcMar>
              <w:top w:w="75" w:type="dxa"/>
              <w:left w:w="75" w:type="dxa"/>
              <w:bottom w:w="75" w:type="dxa"/>
              <w:right w:w="75" w:type="dxa"/>
            </w:tcMar>
            <w:vAlign w:val="center"/>
            <w:hideMark/>
          </w:tcPr>
          <w:p w14:paraId="01EEFEC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w:t>
            </w:r>
          </w:p>
        </w:tc>
        <w:tc>
          <w:tcPr>
            <w:tcW w:w="0" w:type="auto"/>
            <w:shd w:val="clear" w:color="auto" w:fill="auto"/>
            <w:tcMar>
              <w:top w:w="75" w:type="dxa"/>
              <w:left w:w="75" w:type="dxa"/>
              <w:bottom w:w="75" w:type="dxa"/>
              <w:right w:w="75" w:type="dxa"/>
            </w:tcMar>
            <w:vAlign w:val="center"/>
            <w:hideMark/>
          </w:tcPr>
          <w:p w14:paraId="48B1300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508C293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2C158443"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3%</w:t>
            </w:r>
          </w:p>
        </w:tc>
        <w:tc>
          <w:tcPr>
            <w:tcW w:w="0" w:type="auto"/>
            <w:shd w:val="clear" w:color="auto" w:fill="auto"/>
            <w:tcMar>
              <w:top w:w="75" w:type="dxa"/>
              <w:left w:w="75" w:type="dxa"/>
              <w:bottom w:w="75" w:type="dxa"/>
              <w:right w:w="75" w:type="dxa"/>
            </w:tcMar>
            <w:vAlign w:val="center"/>
            <w:hideMark/>
          </w:tcPr>
          <w:p w14:paraId="507FC60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50DD8DAE"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102E340E" w14:textId="77777777" w:rsidTr="00CB6B30">
        <w:tc>
          <w:tcPr>
            <w:tcW w:w="0" w:type="auto"/>
            <w:vMerge/>
            <w:shd w:val="clear" w:color="auto" w:fill="auto"/>
            <w:vAlign w:val="center"/>
            <w:hideMark/>
          </w:tcPr>
          <w:p w14:paraId="0156936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7162B6F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Mediana Tramo 2</w:t>
            </w:r>
          </w:p>
        </w:tc>
        <w:tc>
          <w:tcPr>
            <w:tcW w:w="0" w:type="auto"/>
            <w:shd w:val="clear" w:color="auto" w:fill="auto"/>
            <w:tcMar>
              <w:top w:w="75" w:type="dxa"/>
              <w:left w:w="75" w:type="dxa"/>
              <w:bottom w:w="75" w:type="dxa"/>
              <w:right w:w="75" w:type="dxa"/>
            </w:tcMar>
            <w:vAlign w:val="center"/>
            <w:hideMark/>
          </w:tcPr>
          <w:p w14:paraId="7311A03B"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2%</w:t>
            </w:r>
          </w:p>
        </w:tc>
        <w:tc>
          <w:tcPr>
            <w:tcW w:w="0" w:type="auto"/>
            <w:shd w:val="clear" w:color="auto" w:fill="auto"/>
            <w:tcMar>
              <w:top w:w="75" w:type="dxa"/>
              <w:left w:w="75" w:type="dxa"/>
              <w:bottom w:w="75" w:type="dxa"/>
              <w:right w:w="75" w:type="dxa"/>
            </w:tcMar>
            <w:vAlign w:val="center"/>
            <w:hideMark/>
          </w:tcPr>
          <w:p w14:paraId="063CEAE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6A0C4FF2"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7563E14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13C7913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6A1A5B5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2AB7D253" w14:textId="77777777" w:rsidTr="00CB6B30">
        <w:tc>
          <w:tcPr>
            <w:tcW w:w="0" w:type="auto"/>
            <w:vMerge/>
            <w:shd w:val="clear" w:color="auto" w:fill="auto"/>
            <w:vAlign w:val="center"/>
            <w:hideMark/>
          </w:tcPr>
          <w:p w14:paraId="578FB9B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3FD4063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Condicionales</w:t>
            </w:r>
          </w:p>
        </w:tc>
        <w:tc>
          <w:tcPr>
            <w:tcW w:w="0" w:type="auto"/>
            <w:shd w:val="clear" w:color="auto" w:fill="auto"/>
            <w:tcMar>
              <w:top w:w="75" w:type="dxa"/>
              <w:left w:w="75" w:type="dxa"/>
              <w:bottom w:w="75" w:type="dxa"/>
              <w:right w:w="75" w:type="dxa"/>
            </w:tcMar>
            <w:vAlign w:val="center"/>
            <w:hideMark/>
          </w:tcPr>
          <w:p w14:paraId="43FEF49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26FA672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6F54074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c>
          <w:tcPr>
            <w:tcW w:w="0" w:type="auto"/>
            <w:shd w:val="clear" w:color="auto" w:fill="auto"/>
            <w:tcMar>
              <w:top w:w="75" w:type="dxa"/>
              <w:left w:w="75" w:type="dxa"/>
              <w:bottom w:w="75" w:type="dxa"/>
              <w:right w:w="75" w:type="dxa"/>
            </w:tcMar>
            <w:vAlign w:val="center"/>
            <w:hideMark/>
          </w:tcPr>
          <w:p w14:paraId="05A80CE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1B03D92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7DAE81D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bl>
    <w:p w14:paraId="690C7D10"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g) Sustituir el primer párrafo del inciso a) del artículo 34, por el siguiente:</w:t>
      </w:r>
    </w:p>
    <w:p w14:paraId="1F26B085"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“a) El pago a cuenta -de corresponder- y las cuotas se calcularán según las fórmulas que se consignan en el micrositio denominado “Moratoria” (www.afip.gob.ar/moratoria). El monto mínimo del componente capital del pago a cuenta y de cada cuota será de UN MIL PESOS ($ 1.000.-), excepto en aquellos casos en que el total consolidado no supere este valor.”.</w:t>
      </w:r>
    </w:p>
    <w:p w14:paraId="2A4EB2C3"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h) Sustituir el primer párrafo del artículo 37, por el siguiente:</w:t>
      </w:r>
    </w:p>
    <w:p w14:paraId="282CB184"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“ARTÍCULO 37.- La primera cuota vencerá el día 16 de julio de 2020, y las cuotas subsiguientes vencerán el día 16 de cada mes, las que se cancelarán mediante el procedimiento de débito directo en cuenta bancaria.”.</w:t>
      </w:r>
    </w:p>
    <w:p w14:paraId="55A2E427"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i) Sustituir en el inciso a) del segundo párrafo del artículo 39, la expresión “…desde el día 17 de febrero de 2020 hasta el día 30 de abril de 2020, ambos inclusive.”, por la expresión “…desde el día 17 de febrero de 2020 hasta el día 30 de junio de 2020, ambos inclusive.”.</w:t>
      </w:r>
    </w:p>
    <w:p w14:paraId="651785C8"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lastRenderedPageBreak/>
        <w:t>j) Sustituir el inciso d) del segundo párrafo del artículo 39, por el siguiente:</w:t>
      </w:r>
    </w:p>
    <w:p w14:paraId="52742CC9"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“d) En caso de optar por la refinanciación a través de planes de facilidades de pago, el pago a cuenta –de corresponder-, la cantidad máxima de cuotas y el mes de vencimiento de la primera cuota del plan, serán los que -según el tipo de sujeto y la fecha en que se efectúe la refinanciación- se indican seguidamente:</w:t>
      </w:r>
    </w:p>
    <w:tbl>
      <w:tblPr>
        <w:tblW w:w="0" w:type="auto"/>
        <w:tblCellMar>
          <w:top w:w="15" w:type="dxa"/>
          <w:left w:w="15" w:type="dxa"/>
          <w:bottom w:w="15" w:type="dxa"/>
          <w:right w:w="15" w:type="dxa"/>
        </w:tblCellMar>
        <w:tblLook w:val="04A0" w:firstRow="1" w:lastRow="0" w:firstColumn="1" w:lastColumn="0" w:noHBand="0" w:noVBand="1"/>
      </w:tblPr>
      <w:tblGrid>
        <w:gridCol w:w="1870"/>
        <w:gridCol w:w="1357"/>
        <w:gridCol w:w="767"/>
        <w:gridCol w:w="651"/>
        <w:gridCol w:w="1725"/>
        <w:gridCol w:w="798"/>
        <w:gridCol w:w="668"/>
        <w:gridCol w:w="668"/>
      </w:tblGrid>
      <w:tr w:rsidR="00CB6B30" w:rsidRPr="00CB6B30" w14:paraId="78B5B422" w14:textId="77777777" w:rsidTr="00CB6B30">
        <w:tc>
          <w:tcPr>
            <w:tcW w:w="0" w:type="auto"/>
            <w:vMerge w:val="restart"/>
            <w:shd w:val="clear" w:color="auto" w:fill="auto"/>
            <w:tcMar>
              <w:top w:w="75" w:type="dxa"/>
              <w:left w:w="75" w:type="dxa"/>
              <w:bottom w:w="75" w:type="dxa"/>
              <w:right w:w="75" w:type="dxa"/>
            </w:tcMar>
            <w:vAlign w:val="center"/>
            <w:hideMark/>
          </w:tcPr>
          <w:p w14:paraId="4DE700C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TIPO DE DEUDA</w:t>
            </w:r>
          </w:p>
        </w:tc>
        <w:tc>
          <w:tcPr>
            <w:tcW w:w="0" w:type="auto"/>
            <w:vMerge w:val="restart"/>
            <w:shd w:val="clear" w:color="auto" w:fill="auto"/>
            <w:tcMar>
              <w:top w:w="75" w:type="dxa"/>
              <w:left w:w="75" w:type="dxa"/>
              <w:bottom w:w="75" w:type="dxa"/>
              <w:right w:w="75" w:type="dxa"/>
            </w:tcMar>
            <w:vAlign w:val="center"/>
            <w:hideMark/>
          </w:tcPr>
          <w:p w14:paraId="3215790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TIPO DE SUJETO</w:t>
            </w:r>
          </w:p>
        </w:tc>
        <w:tc>
          <w:tcPr>
            <w:tcW w:w="0" w:type="auto"/>
            <w:gridSpan w:val="6"/>
            <w:shd w:val="clear" w:color="auto" w:fill="auto"/>
            <w:tcMar>
              <w:top w:w="75" w:type="dxa"/>
              <w:left w:w="75" w:type="dxa"/>
              <w:bottom w:w="75" w:type="dxa"/>
              <w:right w:w="75" w:type="dxa"/>
            </w:tcMar>
            <w:vAlign w:val="center"/>
            <w:hideMark/>
          </w:tcPr>
          <w:p w14:paraId="7CD0FE3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FECHA DE REFINANCIACIÓN</w:t>
            </w:r>
          </w:p>
        </w:tc>
      </w:tr>
      <w:tr w:rsidR="00CB6B30" w:rsidRPr="00CB6B30" w14:paraId="2946AE1A" w14:textId="77777777" w:rsidTr="00CB6B30">
        <w:tc>
          <w:tcPr>
            <w:tcW w:w="0" w:type="auto"/>
            <w:vMerge/>
            <w:shd w:val="clear" w:color="auto" w:fill="auto"/>
            <w:vAlign w:val="center"/>
            <w:hideMark/>
          </w:tcPr>
          <w:p w14:paraId="6DCC7E0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vMerge/>
            <w:shd w:val="clear" w:color="auto" w:fill="auto"/>
            <w:vAlign w:val="center"/>
            <w:hideMark/>
          </w:tcPr>
          <w:p w14:paraId="590CA2B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gridSpan w:val="3"/>
            <w:shd w:val="clear" w:color="auto" w:fill="auto"/>
            <w:tcMar>
              <w:top w:w="75" w:type="dxa"/>
              <w:left w:w="75" w:type="dxa"/>
              <w:bottom w:w="75" w:type="dxa"/>
              <w:right w:w="75" w:type="dxa"/>
            </w:tcMar>
            <w:vAlign w:val="center"/>
            <w:hideMark/>
          </w:tcPr>
          <w:p w14:paraId="54CC5420"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Desde el 17/02/2020 hasta el 29/05/2020</w:t>
            </w:r>
          </w:p>
        </w:tc>
        <w:tc>
          <w:tcPr>
            <w:tcW w:w="0" w:type="auto"/>
            <w:gridSpan w:val="3"/>
            <w:shd w:val="clear" w:color="auto" w:fill="auto"/>
            <w:tcMar>
              <w:top w:w="75" w:type="dxa"/>
              <w:left w:w="75" w:type="dxa"/>
              <w:bottom w:w="75" w:type="dxa"/>
              <w:right w:w="75" w:type="dxa"/>
            </w:tcMar>
            <w:vAlign w:val="center"/>
            <w:hideMark/>
          </w:tcPr>
          <w:p w14:paraId="3DC4283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Desde el 30/05/2020 hasta el 30/06/2020</w:t>
            </w:r>
          </w:p>
        </w:tc>
      </w:tr>
      <w:tr w:rsidR="00CB6B30" w:rsidRPr="00CB6B30" w14:paraId="7AB3589D" w14:textId="77777777" w:rsidTr="00CB6B30">
        <w:tc>
          <w:tcPr>
            <w:tcW w:w="0" w:type="auto"/>
            <w:vMerge/>
            <w:shd w:val="clear" w:color="auto" w:fill="auto"/>
            <w:vAlign w:val="center"/>
            <w:hideMark/>
          </w:tcPr>
          <w:p w14:paraId="1791EE2B"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vMerge/>
            <w:shd w:val="clear" w:color="auto" w:fill="auto"/>
            <w:vAlign w:val="center"/>
            <w:hideMark/>
          </w:tcPr>
          <w:p w14:paraId="546AAF7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1BDABC9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Pago a Cuenta</w:t>
            </w:r>
          </w:p>
        </w:tc>
        <w:tc>
          <w:tcPr>
            <w:tcW w:w="0" w:type="auto"/>
            <w:shd w:val="clear" w:color="auto" w:fill="auto"/>
            <w:tcMar>
              <w:top w:w="75" w:type="dxa"/>
              <w:left w:w="75" w:type="dxa"/>
              <w:bottom w:w="75" w:type="dxa"/>
              <w:right w:w="75" w:type="dxa"/>
            </w:tcMar>
            <w:vAlign w:val="center"/>
            <w:hideMark/>
          </w:tcPr>
          <w:p w14:paraId="31814AC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Cuotas</w:t>
            </w:r>
          </w:p>
        </w:tc>
        <w:tc>
          <w:tcPr>
            <w:tcW w:w="0" w:type="auto"/>
            <w:shd w:val="clear" w:color="auto" w:fill="auto"/>
            <w:tcMar>
              <w:top w:w="75" w:type="dxa"/>
              <w:left w:w="75" w:type="dxa"/>
              <w:bottom w:w="75" w:type="dxa"/>
              <w:right w:w="75" w:type="dxa"/>
            </w:tcMar>
            <w:vAlign w:val="center"/>
            <w:hideMark/>
          </w:tcPr>
          <w:p w14:paraId="481E023E"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1ra. Cuota</w:t>
            </w:r>
          </w:p>
        </w:tc>
        <w:tc>
          <w:tcPr>
            <w:tcW w:w="0" w:type="auto"/>
            <w:shd w:val="clear" w:color="auto" w:fill="auto"/>
            <w:tcMar>
              <w:top w:w="75" w:type="dxa"/>
              <w:left w:w="75" w:type="dxa"/>
              <w:bottom w:w="75" w:type="dxa"/>
              <w:right w:w="75" w:type="dxa"/>
            </w:tcMar>
            <w:vAlign w:val="center"/>
            <w:hideMark/>
          </w:tcPr>
          <w:p w14:paraId="4248D17A"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Pago a Cuenta</w:t>
            </w:r>
          </w:p>
        </w:tc>
        <w:tc>
          <w:tcPr>
            <w:tcW w:w="0" w:type="auto"/>
            <w:shd w:val="clear" w:color="auto" w:fill="auto"/>
            <w:tcMar>
              <w:top w:w="75" w:type="dxa"/>
              <w:left w:w="75" w:type="dxa"/>
              <w:bottom w:w="75" w:type="dxa"/>
              <w:right w:w="75" w:type="dxa"/>
            </w:tcMar>
            <w:vAlign w:val="center"/>
            <w:hideMark/>
          </w:tcPr>
          <w:p w14:paraId="7E98FDB3"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Cuotas</w:t>
            </w:r>
          </w:p>
        </w:tc>
        <w:tc>
          <w:tcPr>
            <w:tcW w:w="0" w:type="auto"/>
            <w:shd w:val="clear" w:color="auto" w:fill="auto"/>
            <w:tcMar>
              <w:top w:w="75" w:type="dxa"/>
              <w:left w:w="75" w:type="dxa"/>
              <w:bottom w:w="75" w:type="dxa"/>
              <w:right w:w="75" w:type="dxa"/>
            </w:tcMar>
            <w:vAlign w:val="center"/>
            <w:hideMark/>
          </w:tcPr>
          <w:p w14:paraId="4E49A7B3"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1ra. Cuota</w:t>
            </w:r>
          </w:p>
        </w:tc>
      </w:tr>
      <w:tr w:rsidR="00CB6B30" w:rsidRPr="00CB6B30" w14:paraId="157C08D5" w14:textId="77777777" w:rsidTr="00CB6B30">
        <w:tc>
          <w:tcPr>
            <w:tcW w:w="0" w:type="auto"/>
            <w:vMerge w:val="restart"/>
            <w:shd w:val="clear" w:color="auto" w:fill="auto"/>
            <w:tcMar>
              <w:top w:w="75" w:type="dxa"/>
              <w:left w:w="75" w:type="dxa"/>
              <w:bottom w:w="75" w:type="dxa"/>
              <w:right w:w="75" w:type="dxa"/>
            </w:tcMar>
            <w:vAlign w:val="center"/>
            <w:hideMark/>
          </w:tcPr>
          <w:p w14:paraId="4D5B700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Refinanciación de Planes de Facilidades de Pago Vigentes</w:t>
            </w:r>
          </w:p>
        </w:tc>
        <w:tc>
          <w:tcPr>
            <w:tcW w:w="0" w:type="auto"/>
            <w:shd w:val="clear" w:color="auto" w:fill="auto"/>
            <w:tcMar>
              <w:top w:w="75" w:type="dxa"/>
              <w:left w:w="75" w:type="dxa"/>
              <w:bottom w:w="75" w:type="dxa"/>
              <w:right w:w="75" w:type="dxa"/>
            </w:tcMar>
            <w:vAlign w:val="center"/>
            <w:hideMark/>
          </w:tcPr>
          <w:p w14:paraId="47E5931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Micro y Entidades Civiles sin fines de lucro</w:t>
            </w:r>
          </w:p>
        </w:tc>
        <w:tc>
          <w:tcPr>
            <w:tcW w:w="0" w:type="auto"/>
            <w:shd w:val="clear" w:color="auto" w:fill="auto"/>
            <w:tcMar>
              <w:top w:w="75" w:type="dxa"/>
              <w:left w:w="75" w:type="dxa"/>
              <w:bottom w:w="75" w:type="dxa"/>
              <w:right w:w="75" w:type="dxa"/>
            </w:tcMar>
            <w:vAlign w:val="center"/>
            <w:hideMark/>
          </w:tcPr>
          <w:p w14:paraId="4D4884F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7221C6A1"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14CDF29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Mes siguiente a la presentación de la refinanciación</w:t>
            </w:r>
          </w:p>
        </w:tc>
        <w:tc>
          <w:tcPr>
            <w:tcW w:w="0" w:type="auto"/>
            <w:shd w:val="clear" w:color="auto" w:fill="auto"/>
            <w:tcMar>
              <w:top w:w="75" w:type="dxa"/>
              <w:left w:w="75" w:type="dxa"/>
              <w:bottom w:w="75" w:type="dxa"/>
              <w:right w:w="75" w:type="dxa"/>
            </w:tcMar>
            <w:vAlign w:val="center"/>
            <w:hideMark/>
          </w:tcPr>
          <w:p w14:paraId="3BE07E78"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0%</w:t>
            </w:r>
          </w:p>
        </w:tc>
        <w:tc>
          <w:tcPr>
            <w:tcW w:w="0" w:type="auto"/>
            <w:shd w:val="clear" w:color="auto" w:fill="auto"/>
            <w:tcMar>
              <w:top w:w="75" w:type="dxa"/>
              <w:left w:w="75" w:type="dxa"/>
              <w:bottom w:w="75" w:type="dxa"/>
              <w:right w:w="75" w:type="dxa"/>
            </w:tcMar>
            <w:vAlign w:val="center"/>
            <w:hideMark/>
          </w:tcPr>
          <w:p w14:paraId="2E60A5D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4CC75105"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01A1C4C8" w14:textId="77777777" w:rsidTr="00CB6B30">
        <w:tc>
          <w:tcPr>
            <w:tcW w:w="0" w:type="auto"/>
            <w:vMerge/>
            <w:shd w:val="clear" w:color="auto" w:fill="auto"/>
            <w:vAlign w:val="center"/>
            <w:hideMark/>
          </w:tcPr>
          <w:p w14:paraId="526B88F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0271CD9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Pequeña y Mediana Tramo 1</w:t>
            </w:r>
          </w:p>
        </w:tc>
        <w:tc>
          <w:tcPr>
            <w:tcW w:w="0" w:type="auto"/>
            <w:shd w:val="clear" w:color="auto" w:fill="auto"/>
            <w:tcMar>
              <w:top w:w="75" w:type="dxa"/>
              <w:left w:w="75" w:type="dxa"/>
              <w:bottom w:w="75" w:type="dxa"/>
              <w:right w:w="75" w:type="dxa"/>
            </w:tcMar>
            <w:vAlign w:val="center"/>
            <w:hideMark/>
          </w:tcPr>
          <w:p w14:paraId="62E9B2C3"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w:t>
            </w:r>
          </w:p>
        </w:tc>
        <w:tc>
          <w:tcPr>
            <w:tcW w:w="0" w:type="auto"/>
            <w:shd w:val="clear" w:color="auto" w:fill="auto"/>
            <w:tcMar>
              <w:top w:w="75" w:type="dxa"/>
              <w:left w:w="75" w:type="dxa"/>
              <w:bottom w:w="75" w:type="dxa"/>
              <w:right w:w="75" w:type="dxa"/>
            </w:tcMar>
            <w:vAlign w:val="center"/>
            <w:hideMark/>
          </w:tcPr>
          <w:p w14:paraId="3A7BBB8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37D729D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Mes siguiente a la presentación de la refinanciación</w:t>
            </w:r>
          </w:p>
        </w:tc>
        <w:tc>
          <w:tcPr>
            <w:tcW w:w="0" w:type="auto"/>
            <w:shd w:val="clear" w:color="auto" w:fill="auto"/>
            <w:tcMar>
              <w:top w:w="75" w:type="dxa"/>
              <w:left w:w="75" w:type="dxa"/>
              <w:bottom w:w="75" w:type="dxa"/>
              <w:right w:w="75" w:type="dxa"/>
            </w:tcMar>
            <w:vAlign w:val="center"/>
            <w:hideMark/>
          </w:tcPr>
          <w:p w14:paraId="546C6B6D"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3%</w:t>
            </w:r>
          </w:p>
        </w:tc>
        <w:tc>
          <w:tcPr>
            <w:tcW w:w="0" w:type="auto"/>
            <w:shd w:val="clear" w:color="auto" w:fill="auto"/>
            <w:tcMar>
              <w:top w:w="75" w:type="dxa"/>
              <w:left w:w="75" w:type="dxa"/>
              <w:bottom w:w="75" w:type="dxa"/>
              <w:right w:w="75" w:type="dxa"/>
            </w:tcMar>
            <w:vAlign w:val="center"/>
            <w:hideMark/>
          </w:tcPr>
          <w:p w14:paraId="5E622464"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761AEA7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r w:rsidR="00CB6B30" w:rsidRPr="00CB6B30" w14:paraId="7D6A2EB9" w14:textId="77777777" w:rsidTr="00CB6B30">
        <w:tc>
          <w:tcPr>
            <w:tcW w:w="0" w:type="auto"/>
            <w:vMerge/>
            <w:shd w:val="clear" w:color="auto" w:fill="auto"/>
            <w:vAlign w:val="center"/>
            <w:hideMark/>
          </w:tcPr>
          <w:p w14:paraId="3606CF59"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p>
        </w:tc>
        <w:tc>
          <w:tcPr>
            <w:tcW w:w="0" w:type="auto"/>
            <w:shd w:val="clear" w:color="auto" w:fill="auto"/>
            <w:tcMar>
              <w:top w:w="75" w:type="dxa"/>
              <w:left w:w="75" w:type="dxa"/>
              <w:bottom w:w="75" w:type="dxa"/>
              <w:right w:w="75" w:type="dxa"/>
            </w:tcMar>
            <w:vAlign w:val="center"/>
            <w:hideMark/>
          </w:tcPr>
          <w:p w14:paraId="3E4D66FE"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Mediana Tramo 2</w:t>
            </w:r>
          </w:p>
        </w:tc>
        <w:tc>
          <w:tcPr>
            <w:tcW w:w="0" w:type="auto"/>
            <w:shd w:val="clear" w:color="auto" w:fill="auto"/>
            <w:tcMar>
              <w:top w:w="75" w:type="dxa"/>
              <w:left w:w="75" w:type="dxa"/>
              <w:bottom w:w="75" w:type="dxa"/>
              <w:right w:w="75" w:type="dxa"/>
            </w:tcMar>
            <w:vAlign w:val="center"/>
            <w:hideMark/>
          </w:tcPr>
          <w:p w14:paraId="3A750586"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2%</w:t>
            </w:r>
          </w:p>
        </w:tc>
        <w:tc>
          <w:tcPr>
            <w:tcW w:w="0" w:type="auto"/>
            <w:shd w:val="clear" w:color="auto" w:fill="auto"/>
            <w:tcMar>
              <w:top w:w="75" w:type="dxa"/>
              <w:left w:w="75" w:type="dxa"/>
              <w:bottom w:w="75" w:type="dxa"/>
              <w:right w:w="75" w:type="dxa"/>
            </w:tcMar>
            <w:vAlign w:val="center"/>
            <w:hideMark/>
          </w:tcPr>
          <w:p w14:paraId="3661CB0F"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120</w:t>
            </w:r>
          </w:p>
        </w:tc>
        <w:tc>
          <w:tcPr>
            <w:tcW w:w="0" w:type="auto"/>
            <w:shd w:val="clear" w:color="auto" w:fill="auto"/>
            <w:tcMar>
              <w:top w:w="75" w:type="dxa"/>
              <w:left w:w="75" w:type="dxa"/>
              <w:bottom w:w="75" w:type="dxa"/>
              <w:right w:w="75" w:type="dxa"/>
            </w:tcMar>
            <w:vAlign w:val="center"/>
            <w:hideMark/>
          </w:tcPr>
          <w:p w14:paraId="60B7CF12"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Mes siguiente a la presentación de la refinanciación</w:t>
            </w:r>
          </w:p>
        </w:tc>
        <w:tc>
          <w:tcPr>
            <w:tcW w:w="0" w:type="auto"/>
            <w:shd w:val="clear" w:color="auto" w:fill="auto"/>
            <w:tcMar>
              <w:top w:w="75" w:type="dxa"/>
              <w:left w:w="75" w:type="dxa"/>
              <w:bottom w:w="75" w:type="dxa"/>
              <w:right w:w="75" w:type="dxa"/>
            </w:tcMar>
            <w:vAlign w:val="center"/>
            <w:hideMark/>
          </w:tcPr>
          <w:p w14:paraId="068FD077"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5%</w:t>
            </w:r>
          </w:p>
        </w:tc>
        <w:tc>
          <w:tcPr>
            <w:tcW w:w="0" w:type="auto"/>
            <w:shd w:val="clear" w:color="auto" w:fill="auto"/>
            <w:tcMar>
              <w:top w:w="75" w:type="dxa"/>
              <w:left w:w="75" w:type="dxa"/>
              <w:bottom w:w="75" w:type="dxa"/>
              <w:right w:w="75" w:type="dxa"/>
            </w:tcMar>
            <w:vAlign w:val="center"/>
            <w:hideMark/>
          </w:tcPr>
          <w:p w14:paraId="563D206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90</w:t>
            </w:r>
          </w:p>
        </w:tc>
        <w:tc>
          <w:tcPr>
            <w:tcW w:w="0" w:type="auto"/>
            <w:shd w:val="clear" w:color="auto" w:fill="auto"/>
            <w:tcMar>
              <w:top w:w="75" w:type="dxa"/>
              <w:left w:w="75" w:type="dxa"/>
              <w:bottom w:w="75" w:type="dxa"/>
              <w:right w:w="75" w:type="dxa"/>
            </w:tcMar>
            <w:vAlign w:val="center"/>
            <w:hideMark/>
          </w:tcPr>
          <w:p w14:paraId="0211BC1C" w14:textId="77777777" w:rsidR="00CB6B30" w:rsidRPr="00CB6B30" w:rsidRDefault="00CB6B30" w:rsidP="00CB6B30">
            <w:pPr>
              <w:spacing w:after="0" w:line="240" w:lineRule="auto"/>
              <w:rPr>
                <w:rFonts w:ascii="Times New Roman" w:eastAsia="Times New Roman" w:hAnsi="Times New Roman" w:cs="Times New Roman"/>
                <w:sz w:val="18"/>
                <w:szCs w:val="18"/>
                <w:lang w:eastAsia="es-AR"/>
              </w:rPr>
            </w:pPr>
            <w:r w:rsidRPr="00CB6B30">
              <w:rPr>
                <w:rFonts w:ascii="Times New Roman" w:eastAsia="Times New Roman" w:hAnsi="Times New Roman" w:cs="Times New Roman"/>
                <w:sz w:val="18"/>
                <w:szCs w:val="18"/>
                <w:lang w:eastAsia="es-AR"/>
              </w:rPr>
              <w:t>jul-20</w:t>
            </w:r>
          </w:p>
        </w:tc>
      </w:tr>
    </w:tbl>
    <w:p w14:paraId="6D8F6405"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k) Sustituir el inciso f) del artículo 39, por el siguiente:</w:t>
      </w:r>
    </w:p>
    <w:p w14:paraId="30FD0B7A"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“f) El pago a cuenta -de corresponder- y las cuotas se calcularán según las fórmulas que se consignan en el micrositio denominado “Moratoria” (www.afip.gob.ar/moratoria). El monto mínimo del componente capital del pago a cuenta y de cada cuota será de UN MIL PESOS ($ 1.000.-), excepto en aquellos casos en que el total consolidado no supere este valor.”.</w:t>
      </w:r>
    </w:p>
    <w:p w14:paraId="76AE244E"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l) Sustituir en el inciso a) del artículo 43, la expresión “…hasta el día 30 de abril de 2020, inclusive.”, por la expresión “…hasta el día 30 de junio de 2020, inclusive.”.</w:t>
      </w:r>
    </w:p>
    <w:p w14:paraId="11B3AE23"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m) Sustituir los puntos 1. y 2. del inciso d) del artículo 43, por los siguientes:</w:t>
      </w:r>
    </w:p>
    <w:p w14:paraId="352C3A79"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“1. Resolución judicial homologatoria del acuerdo preventivo notificada al concurso hasta el 29 de mayo de 2020, inclusive: hasta el día del vencimiento del plazo general de adhesión.</w:t>
      </w:r>
    </w:p>
    <w:p w14:paraId="7CCC11EA"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2. Resolución judicial homologatoria del acuerdo preventivo, notificada con posterioridad al 29 de mayo de 2020 y/o pendiente de dictado al 30 de junio de 2020: dentro de los TREINTA (30) días corridos inmediatos siguientes a aquel en que se produzca la respectiva notificación.”.</w:t>
      </w:r>
    </w:p>
    <w:p w14:paraId="3BD835AB"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n) Sustituir en el primer párrafo del artículo 44, la expresión “…sea anterior al día 30 de abril de 2020…”, por la expresión “…sea anterior al día 30 de junio de 2020…”.</w:t>
      </w:r>
    </w:p>
    <w:p w14:paraId="708FBE1B"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ñ) Sustituir los puntos 1. y 2. del inciso c) del artículo 45, por los siguientes:</w:t>
      </w:r>
    </w:p>
    <w:p w14:paraId="557CFB9B"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 xml:space="preserve">“1. Resolución judicial que declara concluido el proceso </w:t>
      </w:r>
      <w:proofErr w:type="spellStart"/>
      <w:r w:rsidRPr="00CB6B30">
        <w:rPr>
          <w:rFonts w:ascii="Helvetica" w:eastAsia="Times New Roman" w:hAnsi="Helvetica" w:cs="Helvetica"/>
          <w:color w:val="111111"/>
          <w:sz w:val="21"/>
          <w:szCs w:val="21"/>
          <w:lang w:eastAsia="es-AR"/>
        </w:rPr>
        <w:t>falencial</w:t>
      </w:r>
      <w:proofErr w:type="spellEnd"/>
      <w:r w:rsidRPr="00CB6B30">
        <w:rPr>
          <w:rFonts w:ascii="Helvetica" w:eastAsia="Times New Roman" w:hAnsi="Helvetica" w:cs="Helvetica"/>
          <w:color w:val="111111"/>
          <w:sz w:val="21"/>
          <w:szCs w:val="21"/>
          <w:lang w:eastAsia="es-AR"/>
        </w:rPr>
        <w:t xml:space="preserve"> por avenimiento notificada al fallido hasta el 29 de mayo de 2020, inclusive: hasta el día del vencimiento del plazo general de adhesión.</w:t>
      </w:r>
    </w:p>
    <w:p w14:paraId="36CD556E"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lastRenderedPageBreak/>
        <w:t xml:space="preserve">2. Resolución judicial que declara concluido el proceso </w:t>
      </w:r>
      <w:proofErr w:type="spellStart"/>
      <w:r w:rsidRPr="00CB6B30">
        <w:rPr>
          <w:rFonts w:ascii="Helvetica" w:eastAsia="Times New Roman" w:hAnsi="Helvetica" w:cs="Helvetica"/>
          <w:color w:val="111111"/>
          <w:sz w:val="21"/>
          <w:szCs w:val="21"/>
          <w:lang w:eastAsia="es-AR"/>
        </w:rPr>
        <w:t>falencial</w:t>
      </w:r>
      <w:proofErr w:type="spellEnd"/>
      <w:r w:rsidRPr="00CB6B30">
        <w:rPr>
          <w:rFonts w:ascii="Helvetica" w:eastAsia="Times New Roman" w:hAnsi="Helvetica" w:cs="Helvetica"/>
          <w:color w:val="111111"/>
          <w:sz w:val="21"/>
          <w:szCs w:val="21"/>
          <w:lang w:eastAsia="es-AR"/>
        </w:rPr>
        <w:t xml:space="preserve"> por avenimiento notificada con posterioridad al 29 de mayo de 2020 y/o pendiente de dictado al 30 de junio de 2020, inclusive: dentro de los TREINTA (30) días corridos inmediatos siguientes a aquel en que se produzca la respectiva notificación.”.</w:t>
      </w:r>
    </w:p>
    <w:p w14:paraId="7E533AEB"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o) Sustituir en el segundo párrafo del artículo 51, la expresión “…desde el día 17 de febrero de 2020 hasta el día 30 de abril de 2020, ambos inclusive.”, por la expresión “…desde el día 17 de febrero de 2020 hasta el día 30 de junio de 2020, ambos inclusive.”.</w:t>
      </w:r>
    </w:p>
    <w:p w14:paraId="5A084108"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p) Derogar los Anexos I (IF-2020-00076121-AFIP-SGDADVCOAD#SDGCTI) y II (IF-2020-00076158-AFIP-SGDADVCOAD#SDGCTI).</w:t>
      </w:r>
    </w:p>
    <w:p w14:paraId="09B3ACE5"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ARTÍCULO 2</w:t>
      </w:r>
      <w:proofErr w:type="gramStart"/>
      <w:r w:rsidRPr="00CB6B30">
        <w:rPr>
          <w:rFonts w:ascii="Helvetica" w:eastAsia="Times New Roman" w:hAnsi="Helvetica" w:cs="Helvetica"/>
          <w:color w:val="111111"/>
          <w:sz w:val="21"/>
          <w:szCs w:val="21"/>
          <w:lang w:eastAsia="es-AR"/>
        </w:rPr>
        <w:t>°.-</w:t>
      </w:r>
      <w:proofErr w:type="gramEnd"/>
      <w:r w:rsidRPr="00CB6B30">
        <w:rPr>
          <w:rFonts w:ascii="Helvetica" w:eastAsia="Times New Roman" w:hAnsi="Helvetica" w:cs="Helvetica"/>
          <w:color w:val="111111"/>
          <w:sz w:val="21"/>
          <w:szCs w:val="21"/>
          <w:lang w:eastAsia="es-AR"/>
        </w:rPr>
        <w:t>Las disposiciones de la presente entrarán en vigencia el día de su publicación en el Boletín Oficial.</w:t>
      </w:r>
    </w:p>
    <w:p w14:paraId="4CFC90A0"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ARTÍCULO 3</w:t>
      </w:r>
      <w:proofErr w:type="gramStart"/>
      <w:r w:rsidRPr="00CB6B30">
        <w:rPr>
          <w:rFonts w:ascii="Helvetica" w:eastAsia="Times New Roman" w:hAnsi="Helvetica" w:cs="Helvetica"/>
          <w:color w:val="111111"/>
          <w:sz w:val="21"/>
          <w:szCs w:val="21"/>
          <w:lang w:eastAsia="es-AR"/>
        </w:rPr>
        <w:t>°.-</w:t>
      </w:r>
      <w:proofErr w:type="gramEnd"/>
      <w:r w:rsidRPr="00CB6B30">
        <w:rPr>
          <w:rFonts w:ascii="Helvetica" w:eastAsia="Times New Roman" w:hAnsi="Helvetica" w:cs="Helvetica"/>
          <w:color w:val="111111"/>
          <w:sz w:val="21"/>
          <w:szCs w:val="21"/>
          <w:lang w:eastAsia="es-AR"/>
        </w:rPr>
        <w:t>Comuníquese, dese a la Dirección Nacional del Registro Oficial para su publicación en el Boletín Oficial y archívese. Mercedes Marco del Pont</w:t>
      </w:r>
    </w:p>
    <w:p w14:paraId="10453640" w14:textId="77777777" w:rsidR="00CB6B30" w:rsidRPr="00CB6B30" w:rsidRDefault="00CB6B30" w:rsidP="00CB6B30">
      <w:pPr>
        <w:shd w:val="clear" w:color="auto" w:fill="F9F9F9"/>
        <w:spacing w:after="360" w:line="240" w:lineRule="auto"/>
        <w:jc w:val="both"/>
        <w:rPr>
          <w:rFonts w:ascii="Helvetica" w:eastAsia="Times New Roman" w:hAnsi="Helvetica" w:cs="Helvetica"/>
          <w:color w:val="111111"/>
          <w:sz w:val="21"/>
          <w:szCs w:val="21"/>
          <w:lang w:eastAsia="es-AR"/>
        </w:rPr>
      </w:pPr>
      <w:r w:rsidRPr="00CB6B30">
        <w:rPr>
          <w:rFonts w:ascii="Helvetica" w:eastAsia="Times New Roman" w:hAnsi="Helvetica" w:cs="Helvetica"/>
          <w:color w:val="111111"/>
          <w:sz w:val="21"/>
          <w:szCs w:val="21"/>
          <w:lang w:eastAsia="es-AR"/>
        </w:rPr>
        <w:t xml:space="preserve">e. 01/04/2020 </w:t>
      </w:r>
      <w:proofErr w:type="spellStart"/>
      <w:r w:rsidRPr="00CB6B30">
        <w:rPr>
          <w:rFonts w:ascii="Helvetica" w:eastAsia="Times New Roman" w:hAnsi="Helvetica" w:cs="Helvetica"/>
          <w:color w:val="111111"/>
          <w:sz w:val="21"/>
          <w:szCs w:val="21"/>
          <w:lang w:eastAsia="es-AR"/>
        </w:rPr>
        <w:t>N°</w:t>
      </w:r>
      <w:proofErr w:type="spellEnd"/>
      <w:r w:rsidRPr="00CB6B30">
        <w:rPr>
          <w:rFonts w:ascii="Helvetica" w:eastAsia="Times New Roman" w:hAnsi="Helvetica" w:cs="Helvetica"/>
          <w:color w:val="111111"/>
          <w:sz w:val="21"/>
          <w:szCs w:val="21"/>
          <w:lang w:eastAsia="es-AR"/>
        </w:rPr>
        <w:t> 16204/20 v. 01/04/2020</w:t>
      </w:r>
    </w:p>
    <w:p w14:paraId="4A3EECD9" w14:textId="77777777" w:rsidR="00CB6B30" w:rsidRPr="00CB6B30" w:rsidRDefault="00CB6B30" w:rsidP="00CB6B30">
      <w:pPr>
        <w:shd w:val="clear" w:color="auto" w:fill="F9F9F9"/>
        <w:spacing w:after="360" w:line="240" w:lineRule="auto"/>
        <w:rPr>
          <w:rFonts w:ascii="Helvetica" w:eastAsia="Times New Roman" w:hAnsi="Helvetica" w:cs="Helvetica"/>
          <w:color w:val="767676"/>
          <w:sz w:val="27"/>
          <w:szCs w:val="27"/>
          <w:lang w:eastAsia="es-AR"/>
        </w:rPr>
      </w:pPr>
      <w:r w:rsidRPr="00CB6B30">
        <w:rPr>
          <w:rFonts w:ascii="Helvetica" w:eastAsia="Times New Roman" w:hAnsi="Helvetica" w:cs="Helvetica"/>
          <w:color w:val="767676"/>
          <w:lang w:eastAsia="es-AR"/>
        </w:rPr>
        <w:t>Fecha de publicación 01/04/2020</w:t>
      </w:r>
    </w:p>
    <w:p w14:paraId="072CDB87" w14:textId="77777777" w:rsidR="00A60B88" w:rsidRDefault="00A60B88"/>
    <w:sectPr w:rsidR="00A60B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30"/>
    <w:rsid w:val="00A60B88"/>
    <w:rsid w:val="00CB6B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21BE"/>
  <w15:chartTrackingRefBased/>
  <w15:docId w15:val="{B7649903-1407-4781-8C8F-47191BB2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95341">
      <w:bodyDiv w:val="1"/>
      <w:marLeft w:val="0"/>
      <w:marRight w:val="0"/>
      <w:marTop w:val="0"/>
      <w:marBottom w:val="0"/>
      <w:divBdr>
        <w:top w:val="none" w:sz="0" w:space="0" w:color="auto"/>
        <w:left w:val="none" w:sz="0" w:space="0" w:color="auto"/>
        <w:bottom w:val="none" w:sz="0" w:space="0" w:color="auto"/>
        <w:right w:val="none" w:sz="0" w:space="0" w:color="auto"/>
      </w:divBdr>
      <w:divsChild>
        <w:div w:id="725179130">
          <w:marLeft w:val="-225"/>
          <w:marRight w:val="-225"/>
          <w:marTop w:val="0"/>
          <w:marBottom w:val="0"/>
          <w:divBdr>
            <w:top w:val="none" w:sz="0" w:space="0" w:color="auto"/>
            <w:left w:val="none" w:sz="0" w:space="0" w:color="auto"/>
            <w:bottom w:val="none" w:sz="0" w:space="0" w:color="auto"/>
            <w:right w:val="none" w:sz="0" w:space="0" w:color="auto"/>
          </w:divBdr>
          <w:divsChild>
            <w:div w:id="1493712334">
              <w:marLeft w:val="0"/>
              <w:marRight w:val="0"/>
              <w:marTop w:val="0"/>
              <w:marBottom w:val="225"/>
              <w:divBdr>
                <w:top w:val="none" w:sz="0" w:space="0" w:color="auto"/>
                <w:left w:val="none" w:sz="0" w:space="0" w:color="auto"/>
                <w:bottom w:val="none" w:sz="0" w:space="0" w:color="auto"/>
                <w:right w:val="none" w:sz="0" w:space="0" w:color="auto"/>
              </w:divBdr>
            </w:div>
            <w:div w:id="1817331618">
              <w:marLeft w:val="0"/>
              <w:marRight w:val="0"/>
              <w:marTop w:val="0"/>
              <w:marBottom w:val="225"/>
              <w:divBdr>
                <w:top w:val="none" w:sz="0" w:space="0" w:color="auto"/>
                <w:left w:val="none" w:sz="0" w:space="0" w:color="auto"/>
                <w:bottom w:val="none" w:sz="0" w:space="0" w:color="auto"/>
                <w:right w:val="none" w:sz="0" w:space="0" w:color="auto"/>
              </w:divBdr>
              <w:divsChild>
                <w:div w:id="242958528">
                  <w:marLeft w:val="0"/>
                  <w:marRight w:val="0"/>
                  <w:marTop w:val="150"/>
                  <w:marBottom w:val="0"/>
                  <w:divBdr>
                    <w:top w:val="none" w:sz="0" w:space="0" w:color="auto"/>
                    <w:left w:val="none" w:sz="0" w:space="0" w:color="auto"/>
                    <w:bottom w:val="none" w:sz="0" w:space="0" w:color="auto"/>
                    <w:right w:val="none" w:sz="0" w:space="0" w:color="auto"/>
                  </w:divBdr>
                </w:div>
                <w:div w:id="1396272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126530">
          <w:marLeft w:val="-225"/>
          <w:marRight w:val="-225"/>
          <w:marTop w:val="0"/>
          <w:marBottom w:val="0"/>
          <w:divBdr>
            <w:top w:val="none" w:sz="0" w:space="0" w:color="auto"/>
            <w:left w:val="none" w:sz="0" w:space="0" w:color="auto"/>
            <w:bottom w:val="none" w:sz="0" w:space="0" w:color="auto"/>
            <w:right w:val="none" w:sz="0" w:space="0" w:color="auto"/>
          </w:divBdr>
          <w:divsChild>
            <w:div w:id="1165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9240</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Muchino</dc:creator>
  <cp:keywords/>
  <dc:description/>
  <cp:lastModifiedBy>Mariana Muchino</cp:lastModifiedBy>
  <cp:revision>1</cp:revision>
  <dcterms:created xsi:type="dcterms:W3CDTF">2020-04-01T12:16:00Z</dcterms:created>
  <dcterms:modified xsi:type="dcterms:W3CDTF">2020-04-01T12:17:00Z</dcterms:modified>
</cp:coreProperties>
</file>